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color w:val="000000"/>
          <w:sz w:val="44"/>
          <w:szCs w:val="44"/>
        </w:rPr>
      </w:pPr>
    </w:p>
    <w:p>
      <w:pPr>
        <w:spacing w:line="360" w:lineRule="auto"/>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中华人民共和国企业所得税</w:t>
      </w:r>
    </w:p>
    <w:p>
      <w:pPr>
        <w:spacing w:line="360" w:lineRule="auto"/>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年度纳税申报表(A类，2017年版)</w:t>
      </w:r>
    </w:p>
    <w:p>
      <w:pPr>
        <w:spacing w:line="360" w:lineRule="auto"/>
        <w:jc w:val="center"/>
        <w:rPr>
          <w:rFonts w:ascii="方正小标宋简体" w:eastAsia="方正小标宋简体"/>
          <w:b/>
          <w:color w:val="000000"/>
          <w:sz w:val="44"/>
          <w:szCs w:val="44"/>
        </w:rPr>
      </w:pPr>
    </w:p>
    <w:p>
      <w:pPr>
        <w:jc w:val="center"/>
        <w:rPr>
          <w:b/>
          <w:color w:val="000000"/>
          <w:sz w:val="32"/>
          <w:szCs w:val="32"/>
        </w:rPr>
      </w:pPr>
    </w:p>
    <w:p>
      <w:pPr>
        <w:jc w:val="center"/>
        <w:rPr>
          <w:color w:val="000000"/>
          <w:sz w:val="32"/>
          <w:szCs w:val="32"/>
        </w:rPr>
      </w:pPr>
    </w:p>
    <w:p>
      <w:pPr>
        <w:spacing w:line="360" w:lineRule="auto"/>
        <w:rPr>
          <w:color w:val="000000"/>
          <w:szCs w:val="21"/>
        </w:rPr>
      </w:pPr>
    </w:p>
    <w:p>
      <w:pPr>
        <w:spacing w:line="360" w:lineRule="auto"/>
        <w:jc w:val="center"/>
        <w:rPr>
          <w:b/>
          <w:color w:val="000000"/>
          <w:sz w:val="32"/>
          <w:szCs w:val="32"/>
        </w:rPr>
      </w:pP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国家税务总局</w:t>
      </w:r>
    </w:p>
    <w:p>
      <w:pPr>
        <w:spacing w:line="360" w:lineRule="auto"/>
        <w:jc w:val="center"/>
        <w:rPr>
          <w:rFonts w:ascii="仿宋_GB2312" w:eastAsia="仿宋_GB2312"/>
          <w:color w:val="000000"/>
          <w:sz w:val="28"/>
          <w:szCs w:val="28"/>
        </w:rPr>
      </w:pPr>
      <w:r>
        <w:rPr>
          <w:rFonts w:hint="eastAsia" w:ascii="仿宋_GB2312" w:eastAsia="仿宋_GB2312"/>
          <w:color w:val="000000"/>
          <w:sz w:val="28"/>
          <w:szCs w:val="28"/>
        </w:rPr>
        <w:t>2017年12月</w:t>
      </w:r>
    </w:p>
    <w:p>
      <w:pPr>
        <w:spacing w:line="360" w:lineRule="auto"/>
        <w:jc w:val="center"/>
        <w:rPr>
          <w:rFonts w:ascii="仿宋_GB2312" w:eastAsia="仿宋_GB2312"/>
          <w:color w:val="000000"/>
          <w:sz w:val="28"/>
          <w:szCs w:val="28"/>
        </w:rPr>
        <w:sectPr>
          <w:footerReference r:id="rId3" w:type="default"/>
          <w:footerReference r:id="rId4" w:type="even"/>
          <w:pgSz w:w="11906" w:h="16838"/>
          <w:pgMar w:top="1985" w:right="1418" w:bottom="1928" w:left="1418" w:header="851" w:footer="992" w:gutter="113"/>
          <w:pgNumType w:fmt="upperRoman" w:start="1"/>
          <w:cols w:space="425" w:num="1"/>
          <w:titlePg/>
          <w:docGrid w:linePitch="312" w:charSpace="0"/>
        </w:sectPr>
      </w:pPr>
    </w:p>
    <w:p>
      <w:pPr>
        <w:pStyle w:val="8"/>
        <w:spacing w:before="240" w:after="360"/>
      </w:pPr>
      <w:bookmarkStart w:id="0" w:name="_Toc499188429"/>
      <w:bookmarkStart w:id="1" w:name="_Toc499211477"/>
      <w:bookmarkStart w:id="2" w:name="_Toc499456548"/>
      <w:r>
        <w:rPr>
          <w:rFonts w:hint="eastAsia"/>
        </w:rPr>
        <w:t>目    录</w:t>
      </w:r>
      <w:bookmarkEnd w:id="0"/>
      <w:bookmarkEnd w:id="1"/>
      <w:bookmarkEnd w:id="2"/>
    </w:p>
    <w:p>
      <w:pPr>
        <w:pStyle w:val="4"/>
        <w:tabs>
          <w:tab w:val="right" w:leader="dot" w:pos="8947"/>
        </w:tabs>
        <w:rPr>
          <w:b w:val="0"/>
          <w:bCs w:val="0"/>
          <w:caps w:val="0"/>
          <w:sz w:val="21"/>
          <w:szCs w:val="22"/>
        </w:rPr>
      </w:pPr>
      <w:r>
        <w:rPr>
          <w:rFonts w:hint="eastAsia" w:ascii="宋体" w:hAnsi="宋体"/>
          <w:b w:val="0"/>
          <w:bCs w:val="0"/>
          <w:caps w:val="0"/>
          <w:color w:val="000000"/>
          <w:sz w:val="21"/>
          <w:szCs w:val="21"/>
        </w:rPr>
        <w:fldChar w:fldCharType="begin"/>
      </w:r>
      <w:r>
        <w:rPr>
          <w:rFonts w:hint="eastAsia" w:ascii="宋体" w:hAnsi="宋体"/>
          <w:b w:val="0"/>
          <w:bCs w:val="0"/>
          <w:caps w:val="0"/>
          <w:color w:val="000000"/>
          <w:sz w:val="21"/>
          <w:szCs w:val="21"/>
        </w:rPr>
        <w:instrText xml:space="preserve"> TOC \o "1-1" \h \z \u </w:instrText>
      </w:r>
      <w:r>
        <w:rPr>
          <w:rFonts w:hint="eastAsia" w:ascii="宋体" w:hAnsi="宋体"/>
          <w:b w:val="0"/>
          <w:bCs w:val="0"/>
          <w:caps w:val="0"/>
          <w:color w:val="000000"/>
          <w:sz w:val="21"/>
          <w:szCs w:val="21"/>
        </w:rPr>
        <w:fldChar w:fldCharType="separate"/>
      </w:r>
      <w:r>
        <w:fldChar w:fldCharType="begin"/>
      </w:r>
      <w:r>
        <w:instrText xml:space="preserve"> HYPERLINK \l "_Toc499456549" </w:instrText>
      </w:r>
      <w:r>
        <w:fldChar w:fldCharType="separate"/>
      </w:r>
      <w:r>
        <w:rPr>
          <w:rStyle w:val="6"/>
          <w:b w:val="0"/>
        </w:rPr>
        <w:t>中华人民共和国企业所得税年度纳税申报表封面</w:t>
      </w:r>
      <w:r>
        <w:rPr>
          <w:b w:val="0"/>
        </w:rPr>
        <w:tab/>
      </w:r>
      <w:r>
        <w:rPr>
          <w:b w:val="0"/>
        </w:rPr>
        <w:fldChar w:fldCharType="begin"/>
      </w:r>
      <w:r>
        <w:rPr>
          <w:b w:val="0"/>
        </w:rPr>
        <w:instrText xml:space="preserve"> PAGEREF _Toc499456549 \h </w:instrText>
      </w:r>
      <w:r>
        <w:rPr>
          <w:b w:val="0"/>
        </w:rPr>
        <w:fldChar w:fldCharType="separate"/>
      </w:r>
      <w:r>
        <w:rPr>
          <w:b w:val="0"/>
        </w:rPr>
        <w:t>1</w:t>
      </w:r>
      <w:r>
        <w:rPr>
          <w:b w:val="0"/>
        </w:rPr>
        <w:fldChar w:fldCharType="end"/>
      </w:r>
      <w:r>
        <w:rPr>
          <w:b w:val="0"/>
        </w:rPr>
        <w:fldChar w:fldCharType="end"/>
      </w:r>
    </w:p>
    <w:p>
      <w:pPr>
        <w:pStyle w:val="4"/>
        <w:tabs>
          <w:tab w:val="right" w:leader="dot" w:pos="8947"/>
        </w:tabs>
        <w:rPr>
          <w:b w:val="0"/>
          <w:bCs w:val="0"/>
          <w:caps w:val="0"/>
          <w:sz w:val="21"/>
          <w:szCs w:val="22"/>
        </w:rPr>
      </w:pPr>
      <w:r>
        <w:fldChar w:fldCharType="begin"/>
      </w:r>
      <w:r>
        <w:instrText xml:space="preserve"> HYPERLINK \l "_Toc499456550" </w:instrText>
      </w:r>
      <w:r>
        <w:fldChar w:fldCharType="separate"/>
      </w:r>
      <w:r>
        <w:rPr>
          <w:rStyle w:val="6"/>
          <w:b w:val="0"/>
        </w:rPr>
        <w:t>《中华人民共和国企业所得税年度纳税申报表（A类，2017年版）》封面填报说明</w:t>
      </w:r>
      <w:r>
        <w:rPr>
          <w:b w:val="0"/>
        </w:rPr>
        <w:tab/>
      </w:r>
      <w:r>
        <w:rPr>
          <w:b w:val="0"/>
        </w:rPr>
        <w:fldChar w:fldCharType="begin"/>
      </w:r>
      <w:r>
        <w:rPr>
          <w:b w:val="0"/>
        </w:rPr>
        <w:instrText xml:space="preserve"> PAGEREF _Toc499456550 \h </w:instrText>
      </w:r>
      <w:r>
        <w:rPr>
          <w:b w:val="0"/>
        </w:rPr>
        <w:fldChar w:fldCharType="separate"/>
      </w:r>
      <w:r>
        <w:rPr>
          <w:b w:val="0"/>
        </w:rPr>
        <w:t>2</w:t>
      </w:r>
      <w:r>
        <w:rPr>
          <w:b w:val="0"/>
        </w:rPr>
        <w:fldChar w:fldCharType="end"/>
      </w:r>
      <w:r>
        <w:rPr>
          <w:b w:val="0"/>
        </w:rPr>
        <w:fldChar w:fldCharType="end"/>
      </w:r>
    </w:p>
    <w:p>
      <w:pPr>
        <w:pStyle w:val="4"/>
        <w:tabs>
          <w:tab w:val="right" w:leader="dot" w:pos="8947"/>
        </w:tabs>
        <w:rPr>
          <w:b w:val="0"/>
          <w:bCs w:val="0"/>
          <w:caps w:val="0"/>
          <w:sz w:val="21"/>
          <w:szCs w:val="22"/>
        </w:rPr>
      </w:pPr>
      <w:r>
        <w:fldChar w:fldCharType="begin"/>
      </w:r>
      <w:r>
        <w:instrText xml:space="preserve"> HYPERLINK \l "_Toc499456551" </w:instrText>
      </w:r>
      <w:r>
        <w:fldChar w:fldCharType="separate"/>
      </w:r>
      <w:r>
        <w:rPr>
          <w:rStyle w:val="6"/>
          <w:b w:val="0"/>
        </w:rPr>
        <w:t>企业所得税年度纳税申报表填报表单</w:t>
      </w:r>
      <w:r>
        <w:rPr>
          <w:b w:val="0"/>
        </w:rPr>
        <w:tab/>
      </w:r>
      <w:r>
        <w:rPr>
          <w:b w:val="0"/>
        </w:rPr>
        <w:fldChar w:fldCharType="begin"/>
      </w:r>
      <w:r>
        <w:rPr>
          <w:b w:val="0"/>
        </w:rPr>
        <w:instrText xml:space="preserve"> PAGEREF _Toc499456551 \h </w:instrText>
      </w:r>
      <w:r>
        <w:rPr>
          <w:b w:val="0"/>
        </w:rPr>
        <w:fldChar w:fldCharType="separate"/>
      </w:r>
      <w:r>
        <w:rPr>
          <w:b w:val="0"/>
        </w:rPr>
        <w:t>3</w:t>
      </w:r>
      <w:r>
        <w:rPr>
          <w:b w:val="0"/>
        </w:rPr>
        <w:fldChar w:fldCharType="end"/>
      </w:r>
      <w:r>
        <w:rPr>
          <w:b w:val="0"/>
        </w:rPr>
        <w:fldChar w:fldCharType="end"/>
      </w:r>
    </w:p>
    <w:p>
      <w:pPr>
        <w:pStyle w:val="4"/>
        <w:tabs>
          <w:tab w:val="right" w:leader="dot" w:pos="8947"/>
        </w:tabs>
        <w:rPr>
          <w:b w:val="0"/>
          <w:bCs w:val="0"/>
          <w:caps w:val="0"/>
          <w:sz w:val="21"/>
          <w:szCs w:val="22"/>
        </w:rPr>
      </w:pPr>
      <w:r>
        <w:fldChar w:fldCharType="begin"/>
      </w:r>
      <w:r>
        <w:instrText xml:space="preserve"> HYPERLINK \l "_Toc499456552" </w:instrText>
      </w:r>
      <w:r>
        <w:fldChar w:fldCharType="separate"/>
      </w:r>
      <w:r>
        <w:rPr>
          <w:rStyle w:val="6"/>
          <w:b w:val="0"/>
        </w:rPr>
        <w:t>《企业所得税年度纳税申报表填报表单》填报说明</w:t>
      </w:r>
      <w:r>
        <w:rPr>
          <w:b w:val="0"/>
        </w:rPr>
        <w:tab/>
      </w:r>
      <w:r>
        <w:rPr>
          <w:b w:val="0"/>
        </w:rPr>
        <w:fldChar w:fldCharType="begin"/>
      </w:r>
      <w:r>
        <w:rPr>
          <w:b w:val="0"/>
        </w:rPr>
        <w:instrText xml:space="preserve"> PAGEREF _Toc499456552 \h </w:instrText>
      </w:r>
      <w:r>
        <w:rPr>
          <w:b w:val="0"/>
        </w:rPr>
        <w:fldChar w:fldCharType="separate"/>
      </w:r>
      <w:r>
        <w:rPr>
          <w:b w:val="0"/>
        </w:rPr>
        <w:t>4</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"_Toc499456553" </w:instrText>
      </w:r>
      <w:r>
        <w:fldChar w:fldCharType="separate"/>
      </w:r>
      <w:r>
        <w:rPr>
          <w:rStyle w:val="6"/>
          <w:b w:val="0"/>
        </w:rPr>
        <w:t>A000000</w:t>
      </w:r>
      <w:r>
        <w:rPr>
          <w:b w:val="0"/>
          <w:bCs w:val="0"/>
          <w:caps w:val="0"/>
          <w:sz w:val="21"/>
          <w:szCs w:val="22"/>
        </w:rPr>
        <w:tab/>
      </w:r>
      <w:r>
        <w:rPr>
          <w:rStyle w:val="6"/>
          <w:b w:val="0"/>
        </w:rPr>
        <w:t>企业基础信息表</w:t>
      </w:r>
      <w:r>
        <w:rPr>
          <w:b w:val="0"/>
        </w:rPr>
        <w:tab/>
      </w:r>
      <w:r>
        <w:rPr>
          <w:b w:val="0"/>
        </w:rPr>
        <w:fldChar w:fldCharType="begin"/>
      </w:r>
      <w:r>
        <w:rPr>
          <w:b w:val="0"/>
        </w:rPr>
        <w:instrText xml:space="preserve"> PAGEREF _Toc499456553 \h </w:instrText>
      </w:r>
      <w:r>
        <w:rPr>
          <w:b w:val="0"/>
        </w:rPr>
        <w:fldChar w:fldCharType="separate"/>
      </w:r>
      <w:r>
        <w:rPr>
          <w:b w:val="0"/>
        </w:rPr>
        <w:t>9</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"_Toc499456554" </w:instrText>
      </w:r>
      <w:r>
        <w:fldChar w:fldCharType="separate"/>
      </w:r>
      <w:r>
        <w:rPr>
          <w:rStyle w:val="6"/>
          <w:b w:val="0"/>
        </w:rPr>
        <w:t>A000000</w:t>
      </w:r>
      <w:r>
        <w:rPr>
          <w:b w:val="0"/>
          <w:bCs w:val="0"/>
          <w:caps w:val="0"/>
          <w:sz w:val="21"/>
          <w:szCs w:val="22"/>
        </w:rPr>
        <w:tab/>
      </w:r>
      <w:r>
        <w:rPr>
          <w:rStyle w:val="6"/>
          <w:b w:val="0"/>
        </w:rPr>
        <w:t>《企业基础信息表》填报说明</w:t>
      </w:r>
      <w:r>
        <w:rPr>
          <w:b w:val="0"/>
        </w:rPr>
        <w:tab/>
      </w:r>
      <w:r>
        <w:rPr>
          <w:b w:val="0"/>
        </w:rPr>
        <w:fldChar w:fldCharType="begin"/>
      </w:r>
      <w:r>
        <w:rPr>
          <w:b w:val="0"/>
        </w:rPr>
        <w:instrText xml:space="preserve"> PAGEREF _Toc499456554 \h </w:instrText>
      </w:r>
      <w:r>
        <w:rPr>
          <w:b w:val="0"/>
        </w:rPr>
        <w:fldChar w:fldCharType="separate"/>
      </w:r>
      <w:r>
        <w:rPr>
          <w:b w:val="0"/>
        </w:rPr>
        <w:t>10</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"_Toc499456555" </w:instrText>
      </w:r>
      <w:r>
        <w:fldChar w:fldCharType="separate"/>
      </w:r>
      <w:r>
        <w:rPr>
          <w:rStyle w:val="6"/>
          <w:b w:val="0"/>
        </w:rPr>
        <w:t>A100000</w:t>
      </w:r>
      <w:r>
        <w:rPr>
          <w:b w:val="0"/>
          <w:bCs w:val="0"/>
          <w:caps w:val="0"/>
          <w:sz w:val="21"/>
          <w:szCs w:val="22"/>
        </w:rPr>
        <w:tab/>
      </w:r>
      <w:r>
        <w:rPr>
          <w:rStyle w:val="6"/>
          <w:b w:val="0"/>
        </w:rPr>
        <w:t>中华人民共和国企业所得税年度纳税申报表（A类）</w:t>
      </w:r>
      <w:r>
        <w:rPr>
          <w:b w:val="0"/>
        </w:rPr>
        <w:tab/>
      </w:r>
      <w:r>
        <w:rPr>
          <w:b w:val="0"/>
        </w:rPr>
        <w:fldChar w:fldCharType="begin"/>
      </w:r>
      <w:r>
        <w:rPr>
          <w:b w:val="0"/>
        </w:rPr>
        <w:instrText xml:space="preserve"> PAGEREF _Toc499456555 \h </w:instrText>
      </w:r>
      <w:r>
        <w:rPr>
          <w:b w:val="0"/>
        </w:rPr>
        <w:fldChar w:fldCharType="separate"/>
      </w:r>
      <w:r>
        <w:rPr>
          <w:b w:val="0"/>
        </w:rPr>
        <w:t>13</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"_Toc499456556" </w:instrText>
      </w:r>
      <w:r>
        <w:fldChar w:fldCharType="separate"/>
      </w:r>
      <w:r>
        <w:rPr>
          <w:rStyle w:val="6"/>
          <w:b w:val="0"/>
        </w:rPr>
        <w:t>A100000</w:t>
      </w:r>
      <w:r>
        <w:rPr>
          <w:b w:val="0"/>
          <w:bCs w:val="0"/>
          <w:caps w:val="0"/>
          <w:sz w:val="21"/>
          <w:szCs w:val="22"/>
        </w:rPr>
        <w:tab/>
      </w:r>
      <w:r>
        <w:rPr>
          <w:rStyle w:val="6"/>
          <w:b w:val="0"/>
        </w:rPr>
        <w:t>《中华人民共和国企业所得税年度纳税申报表（A类）》填报说明</w:t>
      </w:r>
      <w:r>
        <w:rPr>
          <w:b w:val="0"/>
        </w:rPr>
        <w:tab/>
      </w:r>
      <w:r>
        <w:rPr>
          <w:b w:val="0"/>
        </w:rPr>
        <w:fldChar w:fldCharType="begin"/>
      </w:r>
      <w:r>
        <w:rPr>
          <w:b w:val="0"/>
        </w:rPr>
        <w:instrText xml:space="preserve"> PAGEREF _Toc499456556 \h </w:instrText>
      </w:r>
      <w:r>
        <w:rPr>
          <w:b w:val="0"/>
        </w:rPr>
        <w:fldChar w:fldCharType="separate"/>
      </w:r>
      <w:r>
        <w:rPr>
          <w:b w:val="0"/>
        </w:rPr>
        <w:t>14</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"_Toc499456557" </w:instrText>
      </w:r>
      <w:r>
        <w:fldChar w:fldCharType="separate"/>
      </w:r>
      <w:r>
        <w:rPr>
          <w:rStyle w:val="6"/>
          <w:b w:val="0"/>
        </w:rPr>
        <w:t>A101010</w:t>
      </w:r>
      <w:r>
        <w:rPr>
          <w:b w:val="0"/>
          <w:bCs w:val="0"/>
          <w:caps w:val="0"/>
          <w:sz w:val="21"/>
          <w:szCs w:val="22"/>
        </w:rPr>
        <w:tab/>
      </w:r>
      <w:r>
        <w:rPr>
          <w:rStyle w:val="6"/>
          <w:b w:val="0"/>
        </w:rPr>
        <w:t>一般企业收入明细表</w:t>
      </w:r>
      <w:r>
        <w:rPr>
          <w:b w:val="0"/>
        </w:rPr>
        <w:tab/>
      </w:r>
      <w:r>
        <w:rPr>
          <w:b w:val="0"/>
        </w:rPr>
        <w:fldChar w:fldCharType="begin"/>
      </w:r>
      <w:r>
        <w:rPr>
          <w:b w:val="0"/>
        </w:rPr>
        <w:instrText xml:space="preserve"> PAGEREF _Toc499456557 \h </w:instrText>
      </w:r>
      <w:r>
        <w:rPr>
          <w:b w:val="0"/>
        </w:rPr>
        <w:fldChar w:fldCharType="separate"/>
      </w:r>
      <w:r>
        <w:rPr>
          <w:b w:val="0"/>
        </w:rPr>
        <w:t>21</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"_Toc499456558" </w:instrText>
      </w:r>
      <w:r>
        <w:fldChar w:fldCharType="separate"/>
      </w:r>
      <w:r>
        <w:rPr>
          <w:rStyle w:val="6"/>
          <w:b w:val="0"/>
        </w:rPr>
        <w:t>A101010</w:t>
      </w:r>
      <w:r>
        <w:rPr>
          <w:b w:val="0"/>
          <w:bCs w:val="0"/>
          <w:caps w:val="0"/>
          <w:sz w:val="21"/>
          <w:szCs w:val="22"/>
        </w:rPr>
        <w:tab/>
      </w:r>
      <w:r>
        <w:rPr>
          <w:rStyle w:val="6"/>
          <w:b w:val="0"/>
        </w:rPr>
        <w:t>《一般企业收入明细表》填报说明</w:t>
      </w:r>
      <w:r>
        <w:rPr>
          <w:b w:val="0"/>
        </w:rPr>
        <w:tab/>
      </w:r>
      <w:r>
        <w:rPr>
          <w:b w:val="0"/>
        </w:rPr>
        <w:fldChar w:fldCharType="begin"/>
      </w:r>
      <w:r>
        <w:rPr>
          <w:b w:val="0"/>
        </w:rPr>
        <w:instrText xml:space="preserve"> PAGEREF _Toc499456558 \h </w:instrText>
      </w:r>
      <w:r>
        <w:rPr>
          <w:b w:val="0"/>
        </w:rPr>
        <w:fldChar w:fldCharType="separate"/>
      </w:r>
      <w:r>
        <w:rPr>
          <w:b w:val="0"/>
        </w:rPr>
        <w:t>22</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"_Toc499456559" </w:instrText>
      </w:r>
      <w:r>
        <w:fldChar w:fldCharType="separate"/>
      </w:r>
      <w:r>
        <w:rPr>
          <w:rStyle w:val="6"/>
          <w:b w:val="0"/>
        </w:rPr>
        <w:t>A101020</w:t>
      </w:r>
      <w:r>
        <w:rPr>
          <w:b w:val="0"/>
          <w:bCs w:val="0"/>
          <w:caps w:val="0"/>
          <w:sz w:val="21"/>
          <w:szCs w:val="22"/>
        </w:rPr>
        <w:tab/>
      </w:r>
      <w:r>
        <w:rPr>
          <w:rStyle w:val="6"/>
          <w:b w:val="0"/>
        </w:rPr>
        <w:t>金融企业收入明细表</w:t>
      </w:r>
      <w:r>
        <w:rPr>
          <w:b w:val="0"/>
        </w:rPr>
        <w:tab/>
      </w:r>
      <w:r>
        <w:rPr>
          <w:b w:val="0"/>
        </w:rPr>
        <w:fldChar w:fldCharType="begin"/>
      </w:r>
      <w:r>
        <w:rPr>
          <w:b w:val="0"/>
        </w:rPr>
        <w:instrText xml:space="preserve"> PAGEREF _Toc499456559 \h </w:instrText>
      </w:r>
      <w:r>
        <w:rPr>
          <w:b w:val="0"/>
        </w:rPr>
        <w:fldChar w:fldCharType="separate"/>
      </w:r>
      <w:r>
        <w:rPr>
          <w:b w:val="0"/>
        </w:rPr>
        <w:t>25</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"_Toc499456560" </w:instrText>
      </w:r>
      <w:r>
        <w:fldChar w:fldCharType="separate"/>
      </w:r>
      <w:r>
        <w:rPr>
          <w:rStyle w:val="6"/>
          <w:b w:val="0"/>
        </w:rPr>
        <w:t>A101020</w:t>
      </w:r>
      <w:r>
        <w:rPr>
          <w:b w:val="0"/>
          <w:bCs w:val="0"/>
          <w:caps w:val="0"/>
          <w:sz w:val="21"/>
          <w:szCs w:val="22"/>
        </w:rPr>
        <w:tab/>
      </w:r>
      <w:r>
        <w:rPr>
          <w:rStyle w:val="6"/>
          <w:b w:val="0"/>
        </w:rPr>
        <w:t>《金融企业收入明细表》填报说明</w:t>
      </w:r>
      <w:r>
        <w:rPr>
          <w:b w:val="0"/>
        </w:rPr>
        <w:tab/>
      </w:r>
      <w:r>
        <w:rPr>
          <w:b w:val="0"/>
        </w:rPr>
        <w:fldChar w:fldCharType="begin"/>
      </w:r>
      <w:r>
        <w:rPr>
          <w:b w:val="0"/>
        </w:rPr>
        <w:instrText xml:space="preserve"> PAGEREF _Toc499456560 \h </w:instrText>
      </w:r>
      <w:r>
        <w:rPr>
          <w:b w:val="0"/>
        </w:rPr>
        <w:fldChar w:fldCharType="separate"/>
      </w:r>
      <w:r>
        <w:rPr>
          <w:b w:val="0"/>
        </w:rPr>
        <w:t>26</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"_Toc499456561" </w:instrText>
      </w:r>
      <w:r>
        <w:fldChar w:fldCharType="separate"/>
      </w:r>
      <w:r>
        <w:rPr>
          <w:rStyle w:val="6"/>
          <w:b w:val="0"/>
        </w:rPr>
        <w:t>A102010</w:t>
      </w:r>
      <w:r>
        <w:rPr>
          <w:b w:val="0"/>
          <w:bCs w:val="0"/>
          <w:caps w:val="0"/>
          <w:sz w:val="21"/>
          <w:szCs w:val="22"/>
        </w:rPr>
        <w:tab/>
      </w:r>
      <w:r>
        <w:rPr>
          <w:rStyle w:val="6"/>
          <w:b w:val="0"/>
        </w:rPr>
        <w:t>一般企业成本支出明细表</w:t>
      </w:r>
      <w:r>
        <w:rPr>
          <w:b w:val="0"/>
        </w:rPr>
        <w:tab/>
      </w:r>
      <w:r>
        <w:rPr>
          <w:b w:val="0"/>
        </w:rPr>
        <w:fldChar w:fldCharType="begin"/>
      </w:r>
      <w:r>
        <w:rPr>
          <w:b w:val="0"/>
        </w:rPr>
        <w:instrText xml:space="preserve"> PAGEREF _Toc499456561 \h </w:instrText>
      </w:r>
      <w:r>
        <w:rPr>
          <w:b w:val="0"/>
        </w:rPr>
        <w:fldChar w:fldCharType="separate"/>
      </w:r>
      <w:r>
        <w:rPr>
          <w:b w:val="0"/>
        </w:rPr>
        <w:t>29</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"_Toc499456562" </w:instrText>
      </w:r>
      <w:r>
        <w:fldChar w:fldCharType="separate"/>
      </w:r>
      <w:r>
        <w:rPr>
          <w:rStyle w:val="6"/>
          <w:b w:val="0"/>
        </w:rPr>
        <w:t>A102010</w:t>
      </w:r>
      <w:r>
        <w:rPr>
          <w:b w:val="0"/>
          <w:bCs w:val="0"/>
          <w:caps w:val="0"/>
          <w:sz w:val="21"/>
          <w:szCs w:val="22"/>
        </w:rPr>
        <w:tab/>
      </w:r>
      <w:r>
        <w:rPr>
          <w:rStyle w:val="6"/>
          <w:b w:val="0"/>
        </w:rPr>
        <w:t>《一般企业成本支出明细表》填报说明</w:t>
      </w:r>
      <w:r>
        <w:rPr>
          <w:b w:val="0"/>
        </w:rPr>
        <w:tab/>
      </w:r>
      <w:r>
        <w:rPr>
          <w:b w:val="0"/>
        </w:rPr>
        <w:fldChar w:fldCharType="begin"/>
      </w:r>
      <w:r>
        <w:rPr>
          <w:b w:val="0"/>
        </w:rPr>
        <w:instrText xml:space="preserve"> PAGEREF _Toc499456562 \h </w:instrText>
      </w:r>
      <w:r>
        <w:rPr>
          <w:b w:val="0"/>
        </w:rPr>
        <w:fldChar w:fldCharType="separate"/>
      </w:r>
      <w:r>
        <w:rPr>
          <w:b w:val="0"/>
        </w:rPr>
        <w:t>30</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"_Toc499456563" </w:instrText>
      </w:r>
      <w:r>
        <w:fldChar w:fldCharType="separate"/>
      </w:r>
      <w:r>
        <w:rPr>
          <w:rStyle w:val="6"/>
          <w:b w:val="0"/>
        </w:rPr>
        <w:t>A102020</w:t>
      </w:r>
      <w:r>
        <w:rPr>
          <w:b w:val="0"/>
          <w:bCs w:val="0"/>
          <w:caps w:val="0"/>
          <w:sz w:val="21"/>
          <w:szCs w:val="22"/>
        </w:rPr>
        <w:tab/>
      </w:r>
      <w:r>
        <w:rPr>
          <w:rStyle w:val="6"/>
          <w:b w:val="0"/>
        </w:rPr>
        <w:t>金融企业支出明细表</w:t>
      </w:r>
      <w:r>
        <w:rPr>
          <w:b w:val="0"/>
        </w:rPr>
        <w:tab/>
      </w:r>
      <w:r>
        <w:rPr>
          <w:b w:val="0"/>
        </w:rPr>
        <w:fldChar w:fldCharType="begin"/>
      </w:r>
      <w:r>
        <w:rPr>
          <w:b w:val="0"/>
        </w:rPr>
        <w:instrText xml:space="preserve"> PAGEREF _Toc499456563 \h </w:instrText>
      </w:r>
      <w:r>
        <w:rPr>
          <w:b w:val="0"/>
        </w:rPr>
        <w:fldChar w:fldCharType="separate"/>
      </w:r>
      <w:r>
        <w:rPr>
          <w:b w:val="0"/>
        </w:rPr>
        <w:t>33</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"_Toc499456564" </w:instrText>
      </w:r>
      <w:r>
        <w:fldChar w:fldCharType="separate"/>
      </w:r>
      <w:r>
        <w:rPr>
          <w:rStyle w:val="6"/>
          <w:b w:val="0"/>
        </w:rPr>
        <w:t>A102020</w:t>
      </w:r>
      <w:r>
        <w:rPr>
          <w:b w:val="0"/>
          <w:bCs w:val="0"/>
          <w:caps w:val="0"/>
          <w:sz w:val="21"/>
          <w:szCs w:val="22"/>
        </w:rPr>
        <w:tab/>
      </w:r>
      <w:r>
        <w:rPr>
          <w:rStyle w:val="6"/>
          <w:b w:val="0"/>
        </w:rPr>
        <w:t>《金融企业支出明细表》填报说明</w:t>
      </w:r>
      <w:r>
        <w:rPr>
          <w:b w:val="0"/>
        </w:rPr>
        <w:tab/>
      </w:r>
      <w:r>
        <w:rPr>
          <w:b w:val="0"/>
        </w:rPr>
        <w:fldChar w:fldCharType="begin"/>
      </w:r>
      <w:r>
        <w:rPr>
          <w:b w:val="0"/>
        </w:rPr>
        <w:instrText xml:space="preserve"> PAGEREF _Toc499456564 \h </w:instrText>
      </w:r>
      <w:r>
        <w:rPr>
          <w:b w:val="0"/>
        </w:rPr>
        <w:fldChar w:fldCharType="separate"/>
      </w:r>
      <w:r>
        <w:rPr>
          <w:b w:val="0"/>
        </w:rPr>
        <w:t>34</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"_Toc499456565" </w:instrText>
      </w:r>
      <w:r>
        <w:fldChar w:fldCharType="separate"/>
      </w:r>
      <w:r>
        <w:rPr>
          <w:rStyle w:val="6"/>
          <w:b w:val="0"/>
        </w:rPr>
        <w:t>A103000</w:t>
      </w:r>
      <w:r>
        <w:rPr>
          <w:b w:val="0"/>
          <w:bCs w:val="0"/>
          <w:caps w:val="0"/>
          <w:sz w:val="21"/>
          <w:szCs w:val="22"/>
        </w:rPr>
        <w:tab/>
      </w:r>
      <w:r>
        <w:rPr>
          <w:rStyle w:val="6"/>
          <w:b w:val="0"/>
        </w:rPr>
        <w:t>事业单位、民间非营利组织收入、支出明细表</w:t>
      </w:r>
      <w:r>
        <w:rPr>
          <w:b w:val="0"/>
        </w:rPr>
        <w:tab/>
      </w:r>
      <w:r>
        <w:rPr>
          <w:b w:val="0"/>
        </w:rPr>
        <w:fldChar w:fldCharType="begin"/>
      </w:r>
      <w:r>
        <w:rPr>
          <w:b w:val="0"/>
        </w:rPr>
        <w:instrText xml:space="preserve"> PAGEREF _Toc499456565 \h </w:instrText>
      </w:r>
      <w:r>
        <w:rPr>
          <w:b w:val="0"/>
        </w:rPr>
        <w:fldChar w:fldCharType="separate"/>
      </w:r>
      <w:r>
        <w:rPr>
          <w:b w:val="0"/>
        </w:rPr>
        <w:t>37</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"_Toc499456566" </w:instrText>
      </w:r>
      <w:r>
        <w:fldChar w:fldCharType="separate"/>
      </w:r>
      <w:r>
        <w:rPr>
          <w:rStyle w:val="6"/>
          <w:b w:val="0"/>
        </w:rPr>
        <w:t>A103000</w:t>
      </w:r>
      <w:r>
        <w:rPr>
          <w:b w:val="0"/>
          <w:bCs w:val="0"/>
          <w:caps w:val="0"/>
          <w:sz w:val="21"/>
          <w:szCs w:val="22"/>
        </w:rPr>
        <w:tab/>
      </w:r>
      <w:r>
        <w:rPr>
          <w:rStyle w:val="6"/>
          <w:b w:val="0"/>
        </w:rPr>
        <w:t>《事业单位、民间非营利组织收入、支出明细表》填报说明</w:t>
      </w:r>
      <w:r>
        <w:rPr>
          <w:b w:val="0"/>
        </w:rPr>
        <w:tab/>
      </w:r>
      <w:r>
        <w:rPr>
          <w:b w:val="0"/>
        </w:rPr>
        <w:fldChar w:fldCharType="begin"/>
      </w:r>
      <w:r>
        <w:rPr>
          <w:b w:val="0"/>
        </w:rPr>
        <w:instrText xml:space="preserve"> PAGEREF _Toc499456566 \h </w:instrText>
      </w:r>
      <w:r>
        <w:rPr>
          <w:b w:val="0"/>
        </w:rPr>
        <w:fldChar w:fldCharType="separate"/>
      </w:r>
      <w:r>
        <w:rPr>
          <w:b w:val="0"/>
        </w:rPr>
        <w:t>38</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"_Toc499456567" </w:instrText>
      </w:r>
      <w:r>
        <w:fldChar w:fldCharType="separate"/>
      </w:r>
      <w:r>
        <w:rPr>
          <w:rStyle w:val="6"/>
          <w:b w:val="0"/>
        </w:rPr>
        <w:t>A104000</w:t>
      </w:r>
      <w:r>
        <w:rPr>
          <w:b w:val="0"/>
          <w:bCs w:val="0"/>
          <w:caps w:val="0"/>
          <w:sz w:val="21"/>
          <w:szCs w:val="22"/>
        </w:rPr>
        <w:tab/>
      </w:r>
      <w:r>
        <w:rPr>
          <w:rStyle w:val="6"/>
          <w:b w:val="0"/>
        </w:rPr>
        <w:t>期间费用明细表</w:t>
      </w:r>
      <w:r>
        <w:rPr>
          <w:b w:val="0"/>
        </w:rPr>
        <w:tab/>
      </w:r>
      <w:r>
        <w:rPr>
          <w:b w:val="0"/>
        </w:rPr>
        <w:fldChar w:fldCharType="begin"/>
      </w:r>
      <w:r>
        <w:rPr>
          <w:b w:val="0"/>
        </w:rPr>
        <w:instrText xml:space="preserve"> PAGEREF _Toc499456567 \h </w:instrText>
      </w:r>
      <w:r>
        <w:rPr>
          <w:b w:val="0"/>
        </w:rPr>
        <w:fldChar w:fldCharType="separate"/>
      </w:r>
      <w:r>
        <w:rPr>
          <w:b w:val="0"/>
        </w:rPr>
        <w:t>42</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"_Toc499456568" </w:instrText>
      </w:r>
      <w:r>
        <w:fldChar w:fldCharType="separate"/>
      </w:r>
      <w:r>
        <w:rPr>
          <w:rStyle w:val="6"/>
          <w:b w:val="0"/>
        </w:rPr>
        <w:t>A104000</w:t>
      </w:r>
      <w:r>
        <w:rPr>
          <w:b w:val="0"/>
          <w:bCs w:val="0"/>
          <w:caps w:val="0"/>
          <w:sz w:val="21"/>
          <w:szCs w:val="22"/>
        </w:rPr>
        <w:tab/>
      </w:r>
      <w:r>
        <w:rPr>
          <w:rStyle w:val="6"/>
          <w:b w:val="0"/>
        </w:rPr>
        <w:t>《期间费用明细表》填报说明</w:t>
      </w:r>
      <w:r>
        <w:rPr>
          <w:b w:val="0"/>
        </w:rPr>
        <w:tab/>
      </w:r>
      <w:r>
        <w:rPr>
          <w:b w:val="0"/>
        </w:rPr>
        <w:fldChar w:fldCharType="begin"/>
      </w:r>
      <w:r>
        <w:rPr>
          <w:b w:val="0"/>
        </w:rPr>
        <w:instrText xml:space="preserve"> PAGEREF _Toc499456568 \h </w:instrText>
      </w:r>
      <w:r>
        <w:rPr>
          <w:b w:val="0"/>
        </w:rPr>
        <w:fldChar w:fldCharType="separate"/>
      </w:r>
      <w:r>
        <w:rPr>
          <w:b w:val="0"/>
        </w:rPr>
        <w:t>43</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"_Toc499456569" </w:instrText>
      </w:r>
      <w:r>
        <w:fldChar w:fldCharType="separate"/>
      </w:r>
      <w:r>
        <w:rPr>
          <w:rStyle w:val="6"/>
          <w:b w:val="0"/>
        </w:rPr>
        <w:t>A105000</w:t>
      </w:r>
      <w:r>
        <w:rPr>
          <w:b w:val="0"/>
          <w:bCs w:val="0"/>
          <w:caps w:val="0"/>
          <w:sz w:val="21"/>
          <w:szCs w:val="22"/>
        </w:rPr>
        <w:tab/>
      </w:r>
      <w:r>
        <w:rPr>
          <w:rStyle w:val="6"/>
          <w:b w:val="0"/>
        </w:rPr>
        <w:t>纳税调整项目明细表</w:t>
      </w:r>
      <w:r>
        <w:rPr>
          <w:b w:val="0"/>
        </w:rPr>
        <w:tab/>
      </w:r>
      <w:r>
        <w:rPr>
          <w:b w:val="0"/>
        </w:rPr>
        <w:fldChar w:fldCharType="begin"/>
      </w:r>
      <w:r>
        <w:rPr>
          <w:b w:val="0"/>
        </w:rPr>
        <w:instrText xml:space="preserve"> PAGEREF _Toc499456569 \h </w:instrText>
      </w:r>
      <w:r>
        <w:rPr>
          <w:b w:val="0"/>
        </w:rPr>
        <w:fldChar w:fldCharType="separate"/>
      </w:r>
      <w:r>
        <w:rPr>
          <w:b w:val="0"/>
        </w:rPr>
        <w:t>45</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"_Toc499456570" </w:instrText>
      </w:r>
      <w:r>
        <w:fldChar w:fldCharType="separate"/>
      </w:r>
      <w:r>
        <w:rPr>
          <w:rStyle w:val="6"/>
          <w:b w:val="0"/>
        </w:rPr>
        <w:t>A105000</w:t>
      </w:r>
      <w:r>
        <w:rPr>
          <w:b w:val="0"/>
          <w:bCs w:val="0"/>
          <w:caps w:val="0"/>
          <w:sz w:val="21"/>
          <w:szCs w:val="22"/>
        </w:rPr>
        <w:tab/>
      </w:r>
      <w:r>
        <w:rPr>
          <w:rStyle w:val="6"/>
          <w:b w:val="0"/>
        </w:rPr>
        <w:t>《纳税调整项目明细表》填报说明</w:t>
      </w:r>
      <w:r>
        <w:rPr>
          <w:b w:val="0"/>
        </w:rPr>
        <w:tab/>
      </w:r>
      <w:r>
        <w:rPr>
          <w:b w:val="0"/>
        </w:rPr>
        <w:fldChar w:fldCharType="begin"/>
      </w:r>
      <w:r>
        <w:rPr>
          <w:b w:val="0"/>
        </w:rPr>
        <w:instrText xml:space="preserve"> PAGEREF _Toc499456570 \h </w:instrText>
      </w:r>
      <w:r>
        <w:rPr>
          <w:b w:val="0"/>
        </w:rPr>
        <w:fldChar w:fldCharType="separate"/>
      </w:r>
      <w:r>
        <w:rPr>
          <w:b w:val="0"/>
        </w:rPr>
        <w:t>46</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"_Toc499456571" </w:instrText>
      </w:r>
      <w:r>
        <w:fldChar w:fldCharType="separate"/>
      </w:r>
      <w:r>
        <w:rPr>
          <w:rStyle w:val="6"/>
          <w:b w:val="0"/>
        </w:rPr>
        <w:t>A105010</w:t>
      </w:r>
      <w:r>
        <w:rPr>
          <w:b w:val="0"/>
          <w:bCs w:val="0"/>
          <w:caps w:val="0"/>
          <w:sz w:val="21"/>
          <w:szCs w:val="22"/>
        </w:rPr>
        <w:tab/>
      </w:r>
      <w:r>
        <w:rPr>
          <w:rStyle w:val="6"/>
          <w:b w:val="0"/>
        </w:rPr>
        <w:t>视同销售和房地产开发企业特定业务纳税调整明细表</w:t>
      </w:r>
      <w:r>
        <w:rPr>
          <w:b w:val="0"/>
        </w:rPr>
        <w:tab/>
      </w:r>
      <w:r>
        <w:rPr>
          <w:b w:val="0"/>
        </w:rPr>
        <w:fldChar w:fldCharType="begin"/>
      </w:r>
      <w:r>
        <w:rPr>
          <w:b w:val="0"/>
        </w:rPr>
        <w:instrText xml:space="preserve"> PAGEREF _Toc499456571 \h </w:instrText>
      </w:r>
      <w:r>
        <w:rPr>
          <w:b w:val="0"/>
        </w:rPr>
        <w:fldChar w:fldCharType="separate"/>
      </w:r>
      <w:r>
        <w:rPr>
          <w:b w:val="0"/>
        </w:rPr>
        <w:t>55</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"_Toc499456572" </w:instrText>
      </w:r>
      <w:r>
        <w:fldChar w:fldCharType="separate"/>
      </w:r>
      <w:r>
        <w:rPr>
          <w:rStyle w:val="6"/>
          <w:b w:val="0"/>
        </w:rPr>
        <w:t>A105010</w:t>
      </w:r>
      <w:r>
        <w:rPr>
          <w:b w:val="0"/>
          <w:bCs w:val="0"/>
          <w:caps w:val="0"/>
          <w:sz w:val="21"/>
          <w:szCs w:val="22"/>
        </w:rPr>
        <w:tab/>
      </w:r>
      <w:r>
        <w:rPr>
          <w:rStyle w:val="6"/>
          <w:b w:val="0"/>
        </w:rPr>
        <w:t>《视同销售和房地产开发企业特定业务纳税调整明细表》填报说明</w:t>
      </w:r>
      <w:r>
        <w:rPr>
          <w:b w:val="0"/>
        </w:rPr>
        <w:tab/>
      </w:r>
      <w:r>
        <w:rPr>
          <w:b w:val="0"/>
        </w:rPr>
        <w:fldChar w:fldCharType="begin"/>
      </w:r>
      <w:r>
        <w:rPr>
          <w:b w:val="0"/>
        </w:rPr>
        <w:instrText xml:space="preserve"> PAGEREF _Toc499456572 \h </w:instrText>
      </w:r>
      <w:r>
        <w:rPr>
          <w:b w:val="0"/>
        </w:rPr>
        <w:fldChar w:fldCharType="separate"/>
      </w:r>
      <w:r>
        <w:rPr>
          <w:b w:val="0"/>
        </w:rPr>
        <w:t>56</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"_Toc499456573" </w:instrText>
      </w:r>
      <w:r>
        <w:fldChar w:fldCharType="separate"/>
      </w:r>
      <w:r>
        <w:rPr>
          <w:rStyle w:val="6"/>
          <w:b w:val="0"/>
        </w:rPr>
        <w:t>A105020</w:t>
      </w:r>
      <w:r>
        <w:rPr>
          <w:b w:val="0"/>
          <w:bCs w:val="0"/>
          <w:caps w:val="0"/>
          <w:sz w:val="21"/>
          <w:szCs w:val="22"/>
        </w:rPr>
        <w:tab/>
      </w:r>
      <w:r>
        <w:rPr>
          <w:rStyle w:val="6"/>
          <w:b w:val="0"/>
        </w:rPr>
        <w:t>未按权责发生制确认收入纳税调整明细表</w:t>
      </w:r>
      <w:r>
        <w:rPr>
          <w:b w:val="0"/>
        </w:rPr>
        <w:tab/>
      </w:r>
      <w:r>
        <w:rPr>
          <w:b w:val="0"/>
        </w:rPr>
        <w:fldChar w:fldCharType="begin"/>
      </w:r>
      <w:r>
        <w:rPr>
          <w:b w:val="0"/>
        </w:rPr>
        <w:instrText xml:space="preserve"> PAGEREF _Toc499456573 \h </w:instrText>
      </w:r>
      <w:r>
        <w:rPr>
          <w:b w:val="0"/>
        </w:rPr>
        <w:fldChar w:fldCharType="separate"/>
      </w:r>
      <w:r>
        <w:rPr>
          <w:b w:val="0"/>
        </w:rPr>
        <w:t>61</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"_Toc499456574" </w:instrText>
      </w:r>
      <w:r>
        <w:fldChar w:fldCharType="separate"/>
      </w:r>
      <w:r>
        <w:rPr>
          <w:rStyle w:val="6"/>
          <w:b w:val="0"/>
        </w:rPr>
        <w:t>A105020</w:t>
      </w:r>
      <w:r>
        <w:rPr>
          <w:b w:val="0"/>
          <w:bCs w:val="0"/>
          <w:caps w:val="0"/>
          <w:sz w:val="21"/>
          <w:szCs w:val="22"/>
        </w:rPr>
        <w:tab/>
      </w:r>
      <w:r>
        <w:rPr>
          <w:rStyle w:val="6"/>
          <w:b w:val="0"/>
        </w:rPr>
        <w:t>《未按权责发生制确认收入纳税调整明细表》填报说明</w:t>
      </w:r>
      <w:r>
        <w:rPr>
          <w:b w:val="0"/>
        </w:rPr>
        <w:tab/>
      </w:r>
      <w:r>
        <w:rPr>
          <w:b w:val="0"/>
        </w:rPr>
        <w:fldChar w:fldCharType="begin"/>
      </w:r>
      <w:r>
        <w:rPr>
          <w:b w:val="0"/>
        </w:rPr>
        <w:instrText xml:space="preserve"> PAGEREF _Toc499456574 \h </w:instrText>
      </w:r>
      <w:r>
        <w:rPr>
          <w:b w:val="0"/>
        </w:rPr>
        <w:fldChar w:fldCharType="separate"/>
      </w:r>
      <w:r>
        <w:rPr>
          <w:b w:val="0"/>
        </w:rPr>
        <w:t>62</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"_Toc499456575" </w:instrText>
      </w:r>
      <w:r>
        <w:fldChar w:fldCharType="separate"/>
      </w:r>
      <w:r>
        <w:rPr>
          <w:rStyle w:val="6"/>
          <w:b w:val="0"/>
        </w:rPr>
        <w:t>A105030</w:t>
      </w:r>
      <w:r>
        <w:rPr>
          <w:b w:val="0"/>
          <w:bCs w:val="0"/>
          <w:caps w:val="0"/>
          <w:sz w:val="21"/>
          <w:szCs w:val="22"/>
        </w:rPr>
        <w:tab/>
      </w:r>
      <w:r>
        <w:rPr>
          <w:rStyle w:val="6"/>
          <w:b w:val="0"/>
        </w:rPr>
        <w:t>投资收益纳税调整明细表</w:t>
      </w:r>
      <w:r>
        <w:rPr>
          <w:b w:val="0"/>
        </w:rPr>
        <w:tab/>
      </w:r>
      <w:r>
        <w:rPr>
          <w:b w:val="0"/>
        </w:rPr>
        <w:fldChar w:fldCharType="begin"/>
      </w:r>
      <w:r>
        <w:rPr>
          <w:b w:val="0"/>
        </w:rPr>
        <w:instrText xml:space="preserve"> PAGEREF _Toc499456575 \h </w:instrText>
      </w:r>
      <w:r>
        <w:rPr>
          <w:b w:val="0"/>
        </w:rPr>
        <w:fldChar w:fldCharType="separate"/>
      </w:r>
      <w:r>
        <w:rPr>
          <w:b w:val="0"/>
        </w:rPr>
        <w:t>64</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"_Toc499456576" </w:instrText>
      </w:r>
      <w:r>
        <w:fldChar w:fldCharType="separate"/>
      </w:r>
      <w:r>
        <w:rPr>
          <w:rStyle w:val="6"/>
          <w:b w:val="0"/>
        </w:rPr>
        <w:t>A105030</w:t>
      </w:r>
      <w:r>
        <w:rPr>
          <w:b w:val="0"/>
          <w:bCs w:val="0"/>
          <w:caps w:val="0"/>
          <w:sz w:val="21"/>
          <w:szCs w:val="22"/>
        </w:rPr>
        <w:tab/>
      </w:r>
      <w:r>
        <w:rPr>
          <w:rStyle w:val="6"/>
          <w:b w:val="0"/>
        </w:rPr>
        <w:t>《投资收益纳税调整明细表》填报说明</w:t>
      </w:r>
      <w:r>
        <w:rPr>
          <w:b w:val="0"/>
        </w:rPr>
        <w:tab/>
      </w:r>
      <w:r>
        <w:rPr>
          <w:b w:val="0"/>
        </w:rPr>
        <w:fldChar w:fldCharType="begin"/>
      </w:r>
      <w:r>
        <w:rPr>
          <w:b w:val="0"/>
        </w:rPr>
        <w:instrText xml:space="preserve"> PAGEREF _Toc499456576 \h </w:instrText>
      </w:r>
      <w:r>
        <w:rPr>
          <w:b w:val="0"/>
        </w:rPr>
        <w:fldChar w:fldCharType="separate"/>
      </w:r>
      <w:r>
        <w:rPr>
          <w:b w:val="0"/>
        </w:rPr>
        <w:t>65</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"_Toc499456577" </w:instrText>
      </w:r>
      <w:r>
        <w:fldChar w:fldCharType="separate"/>
      </w:r>
      <w:r>
        <w:rPr>
          <w:rStyle w:val="6"/>
          <w:b w:val="0"/>
        </w:rPr>
        <w:t>A105040</w:t>
      </w:r>
      <w:r>
        <w:rPr>
          <w:b w:val="0"/>
          <w:bCs w:val="0"/>
          <w:caps w:val="0"/>
          <w:sz w:val="21"/>
          <w:szCs w:val="22"/>
        </w:rPr>
        <w:tab/>
      </w:r>
      <w:r>
        <w:rPr>
          <w:rStyle w:val="6"/>
          <w:b w:val="0"/>
        </w:rPr>
        <w:t>专项用途财政性资金纳税调整明细表</w:t>
      </w:r>
      <w:r>
        <w:rPr>
          <w:b w:val="0"/>
        </w:rPr>
        <w:tab/>
      </w:r>
      <w:r>
        <w:rPr>
          <w:b w:val="0"/>
        </w:rPr>
        <w:fldChar w:fldCharType="begin"/>
      </w:r>
      <w:r>
        <w:rPr>
          <w:b w:val="0"/>
        </w:rPr>
        <w:instrText xml:space="preserve"> PAGEREF _Toc499456577 \h </w:instrText>
      </w:r>
      <w:r>
        <w:rPr>
          <w:b w:val="0"/>
        </w:rPr>
        <w:fldChar w:fldCharType="separate"/>
      </w:r>
      <w:r>
        <w:rPr>
          <w:b w:val="0"/>
        </w:rPr>
        <w:t>67</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"_Toc499456578" </w:instrText>
      </w:r>
      <w:r>
        <w:fldChar w:fldCharType="separate"/>
      </w:r>
      <w:r>
        <w:rPr>
          <w:rStyle w:val="6"/>
          <w:b w:val="0"/>
        </w:rPr>
        <w:t>A105040</w:t>
      </w:r>
      <w:r>
        <w:rPr>
          <w:b w:val="0"/>
          <w:bCs w:val="0"/>
          <w:caps w:val="0"/>
          <w:sz w:val="21"/>
          <w:szCs w:val="22"/>
        </w:rPr>
        <w:tab/>
      </w:r>
      <w:r>
        <w:rPr>
          <w:rStyle w:val="6"/>
          <w:b w:val="0"/>
        </w:rPr>
        <w:t>《专项用途财政性资金纳税调整明细表》填报说明</w:t>
      </w:r>
      <w:r>
        <w:rPr>
          <w:b w:val="0"/>
        </w:rPr>
        <w:tab/>
      </w:r>
      <w:r>
        <w:rPr>
          <w:b w:val="0"/>
        </w:rPr>
        <w:fldChar w:fldCharType="begin"/>
      </w:r>
      <w:r>
        <w:rPr>
          <w:b w:val="0"/>
        </w:rPr>
        <w:instrText xml:space="preserve"> PAGEREF _Toc499456578 \h </w:instrText>
      </w:r>
      <w:r>
        <w:rPr>
          <w:b w:val="0"/>
        </w:rPr>
        <w:fldChar w:fldCharType="separate"/>
      </w:r>
      <w:r>
        <w:rPr>
          <w:b w:val="0"/>
        </w:rPr>
        <w:t>68</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"_Toc499456579" </w:instrText>
      </w:r>
      <w:r>
        <w:fldChar w:fldCharType="separate"/>
      </w:r>
      <w:r>
        <w:rPr>
          <w:rStyle w:val="6"/>
          <w:b w:val="0"/>
        </w:rPr>
        <w:t>A105050</w:t>
      </w:r>
      <w:r>
        <w:rPr>
          <w:b w:val="0"/>
          <w:bCs w:val="0"/>
          <w:caps w:val="0"/>
          <w:sz w:val="21"/>
          <w:szCs w:val="22"/>
        </w:rPr>
        <w:tab/>
      </w:r>
      <w:r>
        <w:rPr>
          <w:rStyle w:val="6"/>
          <w:b w:val="0"/>
        </w:rPr>
        <w:t>职工薪酬支出及纳税调整明细表</w:t>
      </w:r>
      <w:r>
        <w:rPr>
          <w:b w:val="0"/>
        </w:rPr>
        <w:tab/>
      </w:r>
      <w:r>
        <w:rPr>
          <w:b w:val="0"/>
        </w:rPr>
        <w:fldChar w:fldCharType="begin"/>
      </w:r>
      <w:r>
        <w:rPr>
          <w:b w:val="0"/>
        </w:rPr>
        <w:instrText xml:space="preserve"> PAGEREF _Toc499456579 \h </w:instrText>
      </w:r>
      <w:r>
        <w:rPr>
          <w:b w:val="0"/>
        </w:rPr>
        <w:fldChar w:fldCharType="separate"/>
      </w:r>
      <w:r>
        <w:rPr>
          <w:b w:val="0"/>
        </w:rPr>
        <w:t>70</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"_Toc499456580" </w:instrText>
      </w:r>
      <w:r>
        <w:fldChar w:fldCharType="separate"/>
      </w:r>
      <w:r>
        <w:rPr>
          <w:rStyle w:val="6"/>
          <w:b w:val="0"/>
        </w:rPr>
        <w:t>A105050</w:t>
      </w:r>
      <w:r>
        <w:rPr>
          <w:b w:val="0"/>
          <w:bCs w:val="0"/>
          <w:caps w:val="0"/>
          <w:sz w:val="21"/>
          <w:szCs w:val="22"/>
        </w:rPr>
        <w:tab/>
      </w:r>
      <w:r>
        <w:rPr>
          <w:rStyle w:val="6"/>
          <w:b w:val="0"/>
        </w:rPr>
        <w:t>《职工薪酬支出及纳税调整明细表》填报说明</w:t>
      </w:r>
      <w:r>
        <w:rPr>
          <w:b w:val="0"/>
        </w:rPr>
        <w:tab/>
      </w:r>
      <w:r>
        <w:rPr>
          <w:b w:val="0"/>
        </w:rPr>
        <w:fldChar w:fldCharType="begin"/>
      </w:r>
      <w:r>
        <w:rPr>
          <w:b w:val="0"/>
        </w:rPr>
        <w:instrText xml:space="preserve"> PAGEREF _Toc499456580 \h </w:instrText>
      </w:r>
      <w:r>
        <w:rPr>
          <w:b w:val="0"/>
        </w:rPr>
        <w:fldChar w:fldCharType="separate"/>
      </w:r>
      <w:r>
        <w:rPr>
          <w:b w:val="0"/>
        </w:rPr>
        <w:t>71</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"_Toc499456581" </w:instrText>
      </w:r>
      <w:r>
        <w:fldChar w:fldCharType="separate"/>
      </w:r>
      <w:r>
        <w:rPr>
          <w:rStyle w:val="6"/>
          <w:b w:val="0"/>
        </w:rPr>
        <w:t>A105060</w:t>
      </w:r>
      <w:r>
        <w:rPr>
          <w:b w:val="0"/>
          <w:bCs w:val="0"/>
          <w:caps w:val="0"/>
          <w:sz w:val="21"/>
          <w:szCs w:val="22"/>
        </w:rPr>
        <w:tab/>
      </w:r>
      <w:r>
        <w:rPr>
          <w:rStyle w:val="6"/>
          <w:b w:val="0"/>
        </w:rPr>
        <w:t>广告费和业务宣传费跨年度纳税调整明细表</w:t>
      </w:r>
      <w:r>
        <w:rPr>
          <w:b w:val="0"/>
        </w:rPr>
        <w:tab/>
      </w:r>
      <w:r>
        <w:rPr>
          <w:b w:val="0"/>
        </w:rPr>
        <w:fldChar w:fldCharType="begin"/>
      </w:r>
      <w:r>
        <w:rPr>
          <w:b w:val="0"/>
        </w:rPr>
        <w:instrText xml:space="preserve"> PAGEREF _Toc499456581 \h </w:instrText>
      </w:r>
      <w:r>
        <w:rPr>
          <w:b w:val="0"/>
        </w:rPr>
        <w:fldChar w:fldCharType="separate"/>
      </w:r>
      <w:r>
        <w:rPr>
          <w:b w:val="0"/>
        </w:rPr>
        <w:t>76</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"_Toc499456582" </w:instrText>
      </w:r>
      <w:r>
        <w:fldChar w:fldCharType="separate"/>
      </w:r>
      <w:r>
        <w:rPr>
          <w:rStyle w:val="6"/>
          <w:b w:val="0"/>
        </w:rPr>
        <w:t>A105060</w:t>
      </w:r>
      <w:r>
        <w:rPr>
          <w:b w:val="0"/>
          <w:bCs w:val="0"/>
          <w:caps w:val="0"/>
          <w:sz w:val="21"/>
          <w:szCs w:val="22"/>
        </w:rPr>
        <w:tab/>
      </w:r>
      <w:r>
        <w:rPr>
          <w:rStyle w:val="6"/>
          <w:b w:val="0"/>
        </w:rPr>
        <w:t>《广告费和业务宣传费跨年度纳税调整明细表》填报说明</w:t>
      </w:r>
      <w:r>
        <w:rPr>
          <w:b w:val="0"/>
        </w:rPr>
        <w:tab/>
      </w:r>
      <w:r>
        <w:rPr>
          <w:b w:val="0"/>
        </w:rPr>
        <w:fldChar w:fldCharType="begin"/>
      </w:r>
      <w:r>
        <w:rPr>
          <w:b w:val="0"/>
        </w:rPr>
        <w:instrText xml:space="preserve"> PAGEREF _Toc499456582 \h </w:instrText>
      </w:r>
      <w:r>
        <w:rPr>
          <w:b w:val="0"/>
        </w:rPr>
        <w:fldChar w:fldCharType="separate"/>
      </w:r>
      <w:r>
        <w:rPr>
          <w:b w:val="0"/>
        </w:rPr>
        <w:t>77</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"_Toc499456583" </w:instrText>
      </w:r>
      <w:r>
        <w:fldChar w:fldCharType="separate"/>
      </w:r>
      <w:r>
        <w:rPr>
          <w:rStyle w:val="6"/>
          <w:b w:val="0"/>
        </w:rPr>
        <w:t>A105070</w:t>
      </w:r>
      <w:r>
        <w:rPr>
          <w:b w:val="0"/>
          <w:bCs w:val="0"/>
          <w:caps w:val="0"/>
          <w:sz w:val="21"/>
          <w:szCs w:val="22"/>
        </w:rPr>
        <w:tab/>
      </w:r>
      <w:r>
        <w:rPr>
          <w:rStyle w:val="6"/>
          <w:b w:val="0"/>
        </w:rPr>
        <w:t>捐赠支出及纳税调整明细表</w:t>
      </w:r>
      <w:r>
        <w:rPr>
          <w:b w:val="0"/>
        </w:rPr>
        <w:tab/>
      </w:r>
      <w:r>
        <w:rPr>
          <w:b w:val="0"/>
        </w:rPr>
        <w:fldChar w:fldCharType="begin"/>
      </w:r>
      <w:r>
        <w:rPr>
          <w:b w:val="0"/>
        </w:rPr>
        <w:instrText xml:space="preserve"> PAGEREF _Toc499456583 \h </w:instrText>
      </w:r>
      <w:r>
        <w:rPr>
          <w:b w:val="0"/>
        </w:rPr>
        <w:fldChar w:fldCharType="separate"/>
      </w:r>
      <w:r>
        <w:rPr>
          <w:b w:val="0"/>
        </w:rPr>
        <w:t>79</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"_Toc499456584" </w:instrText>
      </w:r>
      <w:r>
        <w:fldChar w:fldCharType="separate"/>
      </w:r>
      <w:r>
        <w:rPr>
          <w:rStyle w:val="6"/>
          <w:b w:val="0"/>
        </w:rPr>
        <w:t>A105070</w:t>
      </w:r>
      <w:r>
        <w:rPr>
          <w:b w:val="0"/>
          <w:bCs w:val="0"/>
          <w:caps w:val="0"/>
          <w:sz w:val="21"/>
          <w:szCs w:val="22"/>
        </w:rPr>
        <w:tab/>
      </w:r>
      <w:r>
        <w:rPr>
          <w:rStyle w:val="6"/>
          <w:b w:val="0"/>
        </w:rPr>
        <w:t>《捐赠支出及纳税调整明细表》填报说明</w:t>
      </w:r>
      <w:r>
        <w:rPr>
          <w:b w:val="0"/>
        </w:rPr>
        <w:tab/>
      </w:r>
      <w:r>
        <w:rPr>
          <w:b w:val="0"/>
        </w:rPr>
        <w:fldChar w:fldCharType="begin"/>
      </w:r>
      <w:r>
        <w:rPr>
          <w:b w:val="0"/>
        </w:rPr>
        <w:instrText xml:space="preserve"> PAGEREF _Toc499456584 \h </w:instrText>
      </w:r>
      <w:r>
        <w:rPr>
          <w:b w:val="0"/>
        </w:rPr>
        <w:fldChar w:fldCharType="separate"/>
      </w:r>
      <w:r>
        <w:rPr>
          <w:b w:val="0"/>
        </w:rPr>
        <w:t>80</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"_Toc499456585" </w:instrText>
      </w:r>
      <w:r>
        <w:fldChar w:fldCharType="separate"/>
      </w:r>
      <w:r>
        <w:rPr>
          <w:rStyle w:val="6"/>
          <w:b w:val="0"/>
        </w:rPr>
        <w:t>A105080</w:t>
      </w:r>
      <w:r>
        <w:rPr>
          <w:b w:val="0"/>
          <w:bCs w:val="0"/>
          <w:caps w:val="0"/>
          <w:sz w:val="21"/>
          <w:szCs w:val="22"/>
        </w:rPr>
        <w:tab/>
      </w:r>
      <w:r>
        <w:rPr>
          <w:rStyle w:val="6"/>
          <w:b w:val="0"/>
        </w:rPr>
        <w:t>资产折旧、摊销及纳税调整明细表</w:t>
      </w:r>
      <w:r>
        <w:rPr>
          <w:b w:val="0"/>
        </w:rPr>
        <w:tab/>
      </w:r>
      <w:r>
        <w:rPr>
          <w:b w:val="0"/>
        </w:rPr>
        <w:fldChar w:fldCharType="begin"/>
      </w:r>
      <w:r>
        <w:rPr>
          <w:b w:val="0"/>
        </w:rPr>
        <w:instrText xml:space="preserve"> PAGEREF _Toc499456585 \h </w:instrText>
      </w:r>
      <w:r>
        <w:rPr>
          <w:b w:val="0"/>
        </w:rPr>
        <w:fldChar w:fldCharType="separate"/>
      </w:r>
      <w:r>
        <w:rPr>
          <w:b w:val="0"/>
        </w:rPr>
        <w:t>83</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"_Toc499456586" </w:instrText>
      </w:r>
      <w:r>
        <w:fldChar w:fldCharType="separate"/>
      </w:r>
      <w:r>
        <w:rPr>
          <w:rStyle w:val="6"/>
          <w:b w:val="0"/>
        </w:rPr>
        <w:t>A105080</w:t>
      </w:r>
      <w:r>
        <w:rPr>
          <w:b w:val="0"/>
          <w:bCs w:val="0"/>
          <w:caps w:val="0"/>
          <w:sz w:val="21"/>
          <w:szCs w:val="22"/>
        </w:rPr>
        <w:tab/>
      </w:r>
      <w:r>
        <w:rPr>
          <w:rStyle w:val="6"/>
          <w:b w:val="0"/>
        </w:rPr>
        <w:t>《资产折旧、摊销及纳税调整明细表》填报说明</w:t>
      </w:r>
      <w:r>
        <w:rPr>
          <w:b w:val="0"/>
        </w:rPr>
        <w:tab/>
      </w:r>
      <w:r>
        <w:rPr>
          <w:b w:val="0"/>
        </w:rPr>
        <w:fldChar w:fldCharType="begin"/>
      </w:r>
      <w:r>
        <w:rPr>
          <w:b w:val="0"/>
        </w:rPr>
        <w:instrText xml:space="preserve"> PAGEREF _Toc499456586 \h </w:instrText>
      </w:r>
      <w:r>
        <w:rPr>
          <w:b w:val="0"/>
        </w:rPr>
        <w:fldChar w:fldCharType="separate"/>
      </w:r>
      <w:r>
        <w:rPr>
          <w:b w:val="0"/>
        </w:rPr>
        <w:t>85</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"_Toc499456587" </w:instrText>
      </w:r>
      <w:r>
        <w:fldChar w:fldCharType="separate"/>
      </w:r>
      <w:r>
        <w:rPr>
          <w:rStyle w:val="6"/>
          <w:b w:val="0"/>
        </w:rPr>
        <w:t>A105090</w:t>
      </w:r>
      <w:r>
        <w:rPr>
          <w:b w:val="0"/>
          <w:bCs w:val="0"/>
          <w:caps w:val="0"/>
          <w:sz w:val="21"/>
          <w:szCs w:val="22"/>
        </w:rPr>
        <w:tab/>
      </w:r>
      <w:r>
        <w:rPr>
          <w:rStyle w:val="6"/>
          <w:b w:val="0"/>
        </w:rPr>
        <w:t>资产损失税前扣除及纳税调整明细表</w:t>
      </w:r>
      <w:r>
        <w:rPr>
          <w:b w:val="0"/>
        </w:rPr>
        <w:tab/>
      </w:r>
      <w:r>
        <w:rPr>
          <w:b w:val="0"/>
        </w:rPr>
        <w:fldChar w:fldCharType="begin"/>
      </w:r>
      <w:r>
        <w:rPr>
          <w:b w:val="0"/>
        </w:rPr>
        <w:instrText xml:space="preserve"> PAGEREF _Toc499456587 \h </w:instrText>
      </w:r>
      <w:r>
        <w:rPr>
          <w:b w:val="0"/>
        </w:rPr>
        <w:fldChar w:fldCharType="separate"/>
      </w:r>
      <w:r>
        <w:rPr>
          <w:b w:val="0"/>
        </w:rPr>
        <w:t>89</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"_Toc499456588" </w:instrText>
      </w:r>
      <w:r>
        <w:fldChar w:fldCharType="separate"/>
      </w:r>
      <w:r>
        <w:rPr>
          <w:rStyle w:val="6"/>
          <w:b w:val="0"/>
        </w:rPr>
        <w:t>A105090</w:t>
      </w:r>
      <w:r>
        <w:rPr>
          <w:b w:val="0"/>
          <w:bCs w:val="0"/>
          <w:caps w:val="0"/>
          <w:sz w:val="21"/>
          <w:szCs w:val="22"/>
        </w:rPr>
        <w:tab/>
      </w:r>
      <w:r>
        <w:rPr>
          <w:rStyle w:val="6"/>
          <w:b w:val="0"/>
        </w:rPr>
        <w:t>《资</w:t>
      </w:r>
      <w:bookmarkStart w:id="3" w:name="_Hlt499540277"/>
      <w:r>
        <w:rPr>
          <w:rStyle w:val="6"/>
          <w:b w:val="0"/>
        </w:rPr>
        <w:t>产</w:t>
      </w:r>
      <w:bookmarkEnd w:id="3"/>
      <w:r>
        <w:rPr>
          <w:rStyle w:val="6"/>
          <w:b w:val="0"/>
        </w:rPr>
        <w:t>损失税前扣除及纳税调整明细表》填报说明</w:t>
      </w:r>
      <w:r>
        <w:rPr>
          <w:b w:val="0"/>
        </w:rPr>
        <w:tab/>
      </w:r>
      <w:r>
        <w:rPr>
          <w:b w:val="0"/>
        </w:rPr>
        <w:fldChar w:fldCharType="begin"/>
      </w:r>
      <w:r>
        <w:rPr>
          <w:b w:val="0"/>
        </w:rPr>
        <w:instrText xml:space="preserve"> PAGEREF _Toc499456588 \h </w:instrText>
      </w:r>
      <w:r>
        <w:rPr>
          <w:b w:val="0"/>
        </w:rPr>
        <w:fldChar w:fldCharType="separate"/>
      </w:r>
      <w:r>
        <w:rPr>
          <w:b w:val="0"/>
        </w:rPr>
        <w:t>90</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"_Toc499456589" </w:instrText>
      </w:r>
      <w:r>
        <w:fldChar w:fldCharType="separate"/>
      </w:r>
      <w:r>
        <w:rPr>
          <w:rStyle w:val="6"/>
          <w:b w:val="0"/>
        </w:rPr>
        <w:t>A105100</w:t>
      </w:r>
      <w:r>
        <w:rPr>
          <w:b w:val="0"/>
          <w:bCs w:val="0"/>
          <w:caps w:val="0"/>
          <w:sz w:val="21"/>
          <w:szCs w:val="22"/>
        </w:rPr>
        <w:tab/>
      </w:r>
      <w:r>
        <w:rPr>
          <w:rStyle w:val="6"/>
          <w:b w:val="0"/>
        </w:rPr>
        <w:t>企业重组及递延纳税事项纳税调整明细表</w:t>
      </w:r>
      <w:r>
        <w:rPr>
          <w:b w:val="0"/>
        </w:rPr>
        <w:tab/>
      </w:r>
      <w:r>
        <w:rPr>
          <w:b w:val="0"/>
        </w:rPr>
        <w:fldChar w:fldCharType="begin"/>
      </w:r>
      <w:r>
        <w:rPr>
          <w:b w:val="0"/>
        </w:rPr>
        <w:instrText xml:space="preserve"> PAGEREF _Toc499456589 \h </w:instrText>
      </w:r>
      <w:r>
        <w:rPr>
          <w:b w:val="0"/>
        </w:rPr>
        <w:fldChar w:fldCharType="separate"/>
      </w:r>
      <w:r>
        <w:rPr>
          <w:b w:val="0"/>
        </w:rPr>
        <w:t>93</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"_Toc499456590" </w:instrText>
      </w:r>
      <w:r>
        <w:fldChar w:fldCharType="separate"/>
      </w:r>
      <w:r>
        <w:rPr>
          <w:rStyle w:val="6"/>
          <w:b w:val="0"/>
        </w:rPr>
        <w:t>A105100</w:t>
      </w:r>
      <w:r>
        <w:rPr>
          <w:b w:val="0"/>
          <w:bCs w:val="0"/>
          <w:caps w:val="0"/>
          <w:sz w:val="21"/>
          <w:szCs w:val="22"/>
        </w:rPr>
        <w:tab/>
      </w:r>
      <w:r>
        <w:rPr>
          <w:rStyle w:val="6"/>
          <w:b w:val="0"/>
        </w:rPr>
        <w:t>《企业重组及递延纳税事项纳税调整明细表》填报说明</w:t>
      </w:r>
      <w:r>
        <w:rPr>
          <w:b w:val="0"/>
        </w:rPr>
        <w:tab/>
      </w:r>
      <w:r>
        <w:rPr>
          <w:b w:val="0"/>
        </w:rPr>
        <w:fldChar w:fldCharType="begin"/>
      </w:r>
      <w:r>
        <w:rPr>
          <w:b w:val="0"/>
        </w:rPr>
        <w:instrText xml:space="preserve"> PAGEREF _Toc499456590 \h </w:instrText>
      </w:r>
      <w:r>
        <w:rPr>
          <w:b w:val="0"/>
        </w:rPr>
        <w:fldChar w:fldCharType="separate"/>
      </w:r>
      <w:r>
        <w:rPr>
          <w:b w:val="0"/>
        </w:rPr>
        <w:t>94</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"_Toc499456591" </w:instrText>
      </w:r>
      <w:r>
        <w:fldChar w:fldCharType="separate"/>
      </w:r>
      <w:r>
        <w:rPr>
          <w:rStyle w:val="6"/>
          <w:b w:val="0"/>
        </w:rPr>
        <w:t>A105110</w:t>
      </w:r>
      <w:r>
        <w:rPr>
          <w:b w:val="0"/>
          <w:bCs w:val="0"/>
          <w:caps w:val="0"/>
          <w:sz w:val="21"/>
          <w:szCs w:val="22"/>
        </w:rPr>
        <w:tab/>
      </w:r>
      <w:r>
        <w:rPr>
          <w:rStyle w:val="6"/>
          <w:b w:val="0"/>
        </w:rPr>
        <w:t>政策性搬迁纳税调整明细表</w:t>
      </w:r>
      <w:r>
        <w:rPr>
          <w:b w:val="0"/>
        </w:rPr>
        <w:tab/>
      </w:r>
      <w:r>
        <w:rPr>
          <w:b w:val="0"/>
        </w:rPr>
        <w:fldChar w:fldCharType="begin"/>
      </w:r>
      <w:r>
        <w:rPr>
          <w:b w:val="0"/>
        </w:rPr>
        <w:instrText xml:space="preserve"> PAGEREF _Toc499456591 \h </w:instrText>
      </w:r>
      <w:r>
        <w:rPr>
          <w:b w:val="0"/>
        </w:rPr>
        <w:fldChar w:fldCharType="separate"/>
      </w:r>
      <w:r>
        <w:rPr>
          <w:b w:val="0"/>
        </w:rPr>
        <w:t>98</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"_Toc499456592" </w:instrText>
      </w:r>
      <w:r>
        <w:fldChar w:fldCharType="separate"/>
      </w:r>
      <w:r>
        <w:rPr>
          <w:rStyle w:val="6"/>
          <w:b w:val="0"/>
        </w:rPr>
        <w:t>A105110</w:t>
      </w:r>
      <w:r>
        <w:rPr>
          <w:b w:val="0"/>
          <w:bCs w:val="0"/>
          <w:caps w:val="0"/>
          <w:sz w:val="21"/>
          <w:szCs w:val="22"/>
        </w:rPr>
        <w:tab/>
      </w:r>
      <w:r>
        <w:rPr>
          <w:rStyle w:val="6"/>
          <w:b w:val="0"/>
        </w:rPr>
        <w:t>《政策性搬迁纳税调整明细表》填报说明</w:t>
      </w:r>
      <w:r>
        <w:rPr>
          <w:b w:val="0"/>
        </w:rPr>
        <w:tab/>
      </w:r>
      <w:r>
        <w:rPr>
          <w:b w:val="0"/>
        </w:rPr>
        <w:fldChar w:fldCharType="begin"/>
      </w:r>
      <w:r>
        <w:rPr>
          <w:b w:val="0"/>
        </w:rPr>
        <w:instrText xml:space="preserve"> PAGEREF _Toc499456592 \h </w:instrText>
      </w:r>
      <w:r>
        <w:rPr>
          <w:b w:val="0"/>
        </w:rPr>
        <w:fldChar w:fldCharType="separate"/>
      </w:r>
      <w:r>
        <w:rPr>
          <w:b w:val="0"/>
        </w:rPr>
        <w:t>99</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"_Toc499456593" </w:instrText>
      </w:r>
      <w:r>
        <w:fldChar w:fldCharType="separate"/>
      </w:r>
      <w:r>
        <w:rPr>
          <w:rStyle w:val="6"/>
          <w:b w:val="0"/>
        </w:rPr>
        <w:t>A105120</w:t>
      </w:r>
      <w:r>
        <w:rPr>
          <w:b w:val="0"/>
          <w:bCs w:val="0"/>
          <w:caps w:val="0"/>
          <w:sz w:val="21"/>
          <w:szCs w:val="22"/>
        </w:rPr>
        <w:tab/>
      </w:r>
      <w:r>
        <w:rPr>
          <w:rStyle w:val="6"/>
          <w:b w:val="0"/>
        </w:rPr>
        <w:t>特殊行业准备金及纳税调整明细表</w:t>
      </w:r>
      <w:r>
        <w:rPr>
          <w:b w:val="0"/>
        </w:rPr>
        <w:tab/>
      </w:r>
      <w:r>
        <w:rPr>
          <w:b w:val="0"/>
        </w:rPr>
        <w:fldChar w:fldCharType="begin"/>
      </w:r>
      <w:r>
        <w:rPr>
          <w:b w:val="0"/>
        </w:rPr>
        <w:instrText xml:space="preserve"> PAGEREF _Toc499456593 \h </w:instrText>
      </w:r>
      <w:r>
        <w:rPr>
          <w:b w:val="0"/>
        </w:rPr>
        <w:fldChar w:fldCharType="separate"/>
      </w:r>
      <w:r>
        <w:rPr>
          <w:b w:val="0"/>
        </w:rPr>
        <w:t>102</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"_Toc499456594" </w:instrText>
      </w:r>
      <w:r>
        <w:fldChar w:fldCharType="separate"/>
      </w:r>
      <w:r>
        <w:rPr>
          <w:rStyle w:val="6"/>
          <w:b w:val="0"/>
        </w:rPr>
        <w:t>A105120</w:t>
      </w:r>
      <w:r>
        <w:rPr>
          <w:b w:val="0"/>
          <w:bCs w:val="0"/>
          <w:caps w:val="0"/>
          <w:sz w:val="21"/>
          <w:szCs w:val="22"/>
        </w:rPr>
        <w:tab/>
      </w:r>
      <w:r>
        <w:rPr>
          <w:rStyle w:val="6"/>
          <w:b w:val="0"/>
        </w:rPr>
        <w:t>《特殊行业准备金及纳税调整明细表》填报说明</w:t>
      </w:r>
      <w:r>
        <w:rPr>
          <w:b w:val="0"/>
        </w:rPr>
        <w:tab/>
      </w:r>
      <w:r>
        <w:rPr>
          <w:b w:val="0"/>
        </w:rPr>
        <w:fldChar w:fldCharType="begin"/>
      </w:r>
      <w:r>
        <w:rPr>
          <w:b w:val="0"/>
        </w:rPr>
        <w:instrText xml:space="preserve"> PAGEREF _Toc499456594 \h </w:instrText>
      </w:r>
      <w:r>
        <w:rPr>
          <w:b w:val="0"/>
        </w:rPr>
        <w:fldChar w:fldCharType="separate"/>
      </w:r>
      <w:r>
        <w:rPr>
          <w:b w:val="0"/>
        </w:rPr>
        <w:t>103</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"_Toc499456595" </w:instrText>
      </w:r>
      <w:r>
        <w:fldChar w:fldCharType="separate"/>
      </w:r>
      <w:r>
        <w:rPr>
          <w:rStyle w:val="6"/>
          <w:b w:val="0"/>
        </w:rPr>
        <w:t>A106000</w:t>
      </w:r>
      <w:r>
        <w:rPr>
          <w:b w:val="0"/>
          <w:bCs w:val="0"/>
          <w:caps w:val="0"/>
          <w:sz w:val="21"/>
          <w:szCs w:val="22"/>
        </w:rPr>
        <w:tab/>
      </w:r>
      <w:r>
        <w:rPr>
          <w:rStyle w:val="6"/>
          <w:b w:val="0"/>
        </w:rPr>
        <w:t>企业所得税弥补亏损明细表</w:t>
      </w:r>
      <w:r>
        <w:rPr>
          <w:b w:val="0"/>
        </w:rPr>
        <w:tab/>
      </w:r>
      <w:r>
        <w:rPr>
          <w:b w:val="0"/>
        </w:rPr>
        <w:fldChar w:fldCharType="begin"/>
      </w:r>
      <w:r>
        <w:rPr>
          <w:b w:val="0"/>
        </w:rPr>
        <w:instrText xml:space="preserve"> PAGEREF _Toc499456595 \h </w:instrText>
      </w:r>
      <w:r>
        <w:rPr>
          <w:b w:val="0"/>
        </w:rPr>
        <w:fldChar w:fldCharType="separate"/>
      </w:r>
      <w:r>
        <w:rPr>
          <w:b w:val="0"/>
        </w:rPr>
        <w:t>107</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"_Toc499456596" </w:instrText>
      </w:r>
      <w:r>
        <w:fldChar w:fldCharType="separate"/>
      </w:r>
      <w:r>
        <w:rPr>
          <w:rStyle w:val="6"/>
          <w:b w:val="0"/>
        </w:rPr>
        <w:t>A106000</w:t>
      </w:r>
      <w:r>
        <w:rPr>
          <w:b w:val="0"/>
          <w:bCs w:val="0"/>
          <w:caps w:val="0"/>
          <w:sz w:val="21"/>
          <w:szCs w:val="22"/>
        </w:rPr>
        <w:tab/>
      </w:r>
      <w:r>
        <w:rPr>
          <w:rStyle w:val="6"/>
          <w:b w:val="0"/>
        </w:rPr>
        <w:t>《企业所得税弥补亏损明细表》填报说明</w:t>
      </w:r>
      <w:r>
        <w:rPr>
          <w:b w:val="0"/>
        </w:rPr>
        <w:tab/>
      </w:r>
      <w:r>
        <w:rPr>
          <w:b w:val="0"/>
        </w:rPr>
        <w:fldChar w:fldCharType="begin"/>
      </w:r>
      <w:r>
        <w:rPr>
          <w:b w:val="0"/>
        </w:rPr>
        <w:instrText xml:space="preserve"> PAGEREF _Toc499456596 \h </w:instrText>
      </w:r>
      <w:r>
        <w:rPr>
          <w:b w:val="0"/>
        </w:rPr>
        <w:fldChar w:fldCharType="separate"/>
      </w:r>
      <w:r>
        <w:rPr>
          <w:b w:val="0"/>
        </w:rPr>
        <w:t>108</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"_Toc499456597" </w:instrText>
      </w:r>
      <w:r>
        <w:fldChar w:fldCharType="separate"/>
      </w:r>
      <w:r>
        <w:rPr>
          <w:rStyle w:val="6"/>
          <w:b w:val="0"/>
        </w:rPr>
        <w:t>A107010</w:t>
      </w:r>
      <w:r>
        <w:rPr>
          <w:b w:val="0"/>
          <w:bCs w:val="0"/>
          <w:caps w:val="0"/>
          <w:sz w:val="21"/>
          <w:szCs w:val="22"/>
        </w:rPr>
        <w:tab/>
      </w:r>
      <w:r>
        <w:rPr>
          <w:rStyle w:val="6"/>
          <w:b w:val="0"/>
        </w:rPr>
        <w:t>免税、减计收入及加计扣除优惠明细表</w:t>
      </w:r>
      <w:r>
        <w:rPr>
          <w:b w:val="0"/>
        </w:rPr>
        <w:tab/>
      </w:r>
      <w:r>
        <w:rPr>
          <w:b w:val="0"/>
        </w:rPr>
        <w:fldChar w:fldCharType="begin"/>
      </w:r>
      <w:r>
        <w:rPr>
          <w:b w:val="0"/>
        </w:rPr>
        <w:instrText xml:space="preserve"> PAGEREF _Toc499456597 \h </w:instrText>
      </w:r>
      <w:r>
        <w:rPr>
          <w:b w:val="0"/>
        </w:rPr>
        <w:fldChar w:fldCharType="separate"/>
      </w:r>
      <w:r>
        <w:rPr>
          <w:b w:val="0"/>
        </w:rPr>
        <w:t>110</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"_Toc499456598" </w:instrText>
      </w:r>
      <w:r>
        <w:fldChar w:fldCharType="separate"/>
      </w:r>
      <w:r>
        <w:rPr>
          <w:rStyle w:val="6"/>
          <w:b w:val="0"/>
        </w:rPr>
        <w:t>A107010</w:t>
      </w:r>
      <w:r>
        <w:rPr>
          <w:b w:val="0"/>
          <w:bCs w:val="0"/>
          <w:caps w:val="0"/>
          <w:sz w:val="21"/>
          <w:szCs w:val="22"/>
        </w:rPr>
        <w:tab/>
      </w:r>
      <w:r>
        <w:rPr>
          <w:rStyle w:val="6"/>
          <w:b w:val="0"/>
        </w:rPr>
        <w:t>《免税、减计收入及加计扣除优惠明细表》填报说明</w:t>
      </w:r>
      <w:r>
        <w:rPr>
          <w:b w:val="0"/>
        </w:rPr>
        <w:tab/>
      </w:r>
      <w:r>
        <w:rPr>
          <w:b w:val="0"/>
        </w:rPr>
        <w:fldChar w:fldCharType="begin"/>
      </w:r>
      <w:r>
        <w:rPr>
          <w:b w:val="0"/>
        </w:rPr>
        <w:instrText xml:space="preserve"> PAGEREF _Toc499456598 \h </w:instrText>
      </w:r>
      <w:r>
        <w:rPr>
          <w:b w:val="0"/>
        </w:rPr>
        <w:fldChar w:fldCharType="separate"/>
      </w:r>
      <w:r>
        <w:rPr>
          <w:b w:val="0"/>
        </w:rPr>
        <w:t>111</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"_Toc499456599" </w:instrText>
      </w:r>
      <w:r>
        <w:fldChar w:fldCharType="separate"/>
      </w:r>
      <w:r>
        <w:rPr>
          <w:rStyle w:val="6"/>
          <w:b w:val="0"/>
        </w:rPr>
        <w:t>A107011</w:t>
      </w:r>
      <w:r>
        <w:rPr>
          <w:b w:val="0"/>
          <w:bCs w:val="0"/>
          <w:caps w:val="0"/>
          <w:sz w:val="21"/>
          <w:szCs w:val="22"/>
        </w:rPr>
        <w:tab/>
      </w:r>
      <w:r>
        <w:rPr>
          <w:rStyle w:val="6"/>
          <w:b w:val="0"/>
        </w:rPr>
        <w:t>符合条件的居民企业之间的股息、红利等权益性投资收益优惠明细表</w:t>
      </w:r>
      <w:r>
        <w:rPr>
          <w:b w:val="0"/>
        </w:rPr>
        <w:tab/>
      </w:r>
      <w:r>
        <w:rPr>
          <w:b w:val="0"/>
        </w:rPr>
        <w:fldChar w:fldCharType="begin"/>
      </w:r>
      <w:r>
        <w:rPr>
          <w:b w:val="0"/>
        </w:rPr>
        <w:instrText xml:space="preserve"> PAGEREF _Toc499456599 \h </w:instrText>
      </w:r>
      <w:r>
        <w:rPr>
          <w:b w:val="0"/>
        </w:rPr>
        <w:fldChar w:fldCharType="separate"/>
      </w:r>
      <w:r>
        <w:rPr>
          <w:b w:val="0"/>
        </w:rPr>
        <w:t>117</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"_Toc499456600" </w:instrText>
      </w:r>
      <w:r>
        <w:fldChar w:fldCharType="separate"/>
      </w:r>
      <w:r>
        <w:rPr>
          <w:rStyle w:val="6"/>
          <w:b w:val="0"/>
        </w:rPr>
        <w:t>A107011</w:t>
      </w:r>
      <w:r>
        <w:rPr>
          <w:b w:val="0"/>
          <w:bCs w:val="0"/>
          <w:caps w:val="0"/>
          <w:sz w:val="21"/>
          <w:szCs w:val="22"/>
        </w:rPr>
        <w:tab/>
      </w:r>
      <w:r>
        <w:rPr>
          <w:rStyle w:val="6"/>
          <w:b w:val="0"/>
        </w:rPr>
        <w:t>《符合条件的居民企业之间的股息、红利等权益性投资收益优惠明细表》填报说明</w:t>
      </w:r>
      <w:r>
        <w:rPr>
          <w:b w:val="0"/>
        </w:rPr>
        <w:tab/>
      </w:r>
      <w:r>
        <w:rPr>
          <w:b w:val="0"/>
        </w:rPr>
        <w:fldChar w:fldCharType="begin"/>
      </w:r>
      <w:r>
        <w:rPr>
          <w:b w:val="0"/>
        </w:rPr>
        <w:instrText xml:space="preserve"> PAGEREF _Toc499456600 \h </w:instrText>
      </w:r>
      <w:r>
        <w:rPr>
          <w:b w:val="0"/>
        </w:rPr>
        <w:fldChar w:fldCharType="separate"/>
      </w:r>
      <w:r>
        <w:rPr>
          <w:b w:val="0"/>
        </w:rPr>
        <w:t>118</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"_Toc499456601" </w:instrText>
      </w:r>
      <w:r>
        <w:fldChar w:fldCharType="separate"/>
      </w:r>
      <w:r>
        <w:rPr>
          <w:rStyle w:val="6"/>
          <w:b w:val="0"/>
        </w:rPr>
        <w:t>A107012</w:t>
      </w:r>
      <w:r>
        <w:rPr>
          <w:b w:val="0"/>
          <w:bCs w:val="0"/>
          <w:caps w:val="0"/>
          <w:sz w:val="21"/>
          <w:szCs w:val="22"/>
        </w:rPr>
        <w:tab/>
      </w:r>
      <w:r>
        <w:rPr>
          <w:rStyle w:val="6"/>
          <w:b w:val="0"/>
        </w:rPr>
        <w:t>研发费用加计扣除优惠明细表</w:t>
      </w:r>
      <w:r>
        <w:rPr>
          <w:b w:val="0"/>
        </w:rPr>
        <w:tab/>
      </w:r>
      <w:r>
        <w:rPr>
          <w:b w:val="0"/>
        </w:rPr>
        <w:fldChar w:fldCharType="begin"/>
      </w:r>
      <w:r>
        <w:rPr>
          <w:b w:val="0"/>
        </w:rPr>
        <w:instrText xml:space="preserve"> PAGEREF _Toc499456601 \h </w:instrText>
      </w:r>
      <w:r>
        <w:rPr>
          <w:b w:val="0"/>
        </w:rPr>
        <w:fldChar w:fldCharType="separate"/>
      </w:r>
      <w:r>
        <w:rPr>
          <w:b w:val="0"/>
        </w:rPr>
        <w:t>121</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"_Toc499456602" </w:instrText>
      </w:r>
      <w:r>
        <w:fldChar w:fldCharType="separate"/>
      </w:r>
      <w:r>
        <w:rPr>
          <w:rStyle w:val="6"/>
          <w:b w:val="0"/>
        </w:rPr>
        <w:t>A107012</w:t>
      </w:r>
      <w:r>
        <w:rPr>
          <w:b w:val="0"/>
          <w:bCs w:val="0"/>
          <w:caps w:val="0"/>
          <w:sz w:val="21"/>
          <w:szCs w:val="22"/>
        </w:rPr>
        <w:tab/>
      </w:r>
      <w:r>
        <w:rPr>
          <w:rStyle w:val="6"/>
          <w:b w:val="0"/>
        </w:rPr>
        <w:t>《研发费用加计扣除优惠明细表》填报说明</w:t>
      </w:r>
      <w:r>
        <w:rPr>
          <w:b w:val="0"/>
        </w:rPr>
        <w:tab/>
      </w:r>
      <w:r>
        <w:rPr>
          <w:b w:val="0"/>
        </w:rPr>
        <w:fldChar w:fldCharType="begin"/>
      </w:r>
      <w:r>
        <w:rPr>
          <w:b w:val="0"/>
        </w:rPr>
        <w:instrText xml:space="preserve"> PAGEREF _Toc499456602 \h </w:instrText>
      </w:r>
      <w:r>
        <w:rPr>
          <w:b w:val="0"/>
        </w:rPr>
        <w:fldChar w:fldCharType="separate"/>
      </w:r>
      <w:r>
        <w:rPr>
          <w:b w:val="0"/>
        </w:rPr>
        <w:t>123</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"_Toc499456603" </w:instrText>
      </w:r>
      <w:r>
        <w:fldChar w:fldCharType="separate"/>
      </w:r>
      <w:r>
        <w:rPr>
          <w:rStyle w:val="6"/>
          <w:b w:val="0"/>
        </w:rPr>
        <w:t>A107020</w:t>
      </w:r>
      <w:r>
        <w:rPr>
          <w:b w:val="0"/>
          <w:bCs w:val="0"/>
          <w:caps w:val="0"/>
          <w:sz w:val="21"/>
          <w:szCs w:val="22"/>
        </w:rPr>
        <w:tab/>
      </w:r>
      <w:r>
        <w:rPr>
          <w:rStyle w:val="6"/>
          <w:b w:val="0"/>
        </w:rPr>
        <w:t>所得减免优惠明细表</w:t>
      </w:r>
      <w:r>
        <w:rPr>
          <w:b w:val="0"/>
        </w:rPr>
        <w:tab/>
      </w:r>
      <w:r>
        <w:rPr>
          <w:b w:val="0"/>
        </w:rPr>
        <w:fldChar w:fldCharType="begin"/>
      </w:r>
      <w:r>
        <w:rPr>
          <w:b w:val="0"/>
        </w:rPr>
        <w:instrText xml:space="preserve"> PAGEREF _Toc499456603 \h </w:instrText>
      </w:r>
      <w:r>
        <w:rPr>
          <w:b w:val="0"/>
        </w:rPr>
        <w:fldChar w:fldCharType="separate"/>
      </w:r>
      <w:r>
        <w:rPr>
          <w:b w:val="0"/>
        </w:rPr>
        <w:t>129</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"_Toc499456604" </w:instrText>
      </w:r>
      <w:r>
        <w:fldChar w:fldCharType="separate"/>
      </w:r>
      <w:r>
        <w:rPr>
          <w:rStyle w:val="6"/>
          <w:b w:val="0"/>
        </w:rPr>
        <w:t>A107020</w:t>
      </w:r>
      <w:r>
        <w:rPr>
          <w:b w:val="0"/>
          <w:bCs w:val="0"/>
          <w:caps w:val="0"/>
          <w:sz w:val="21"/>
          <w:szCs w:val="22"/>
        </w:rPr>
        <w:tab/>
      </w:r>
      <w:r>
        <w:rPr>
          <w:rStyle w:val="6"/>
          <w:b w:val="0"/>
        </w:rPr>
        <w:t>《所得减免优惠明细表》填报说明</w:t>
      </w:r>
      <w:r>
        <w:rPr>
          <w:b w:val="0"/>
        </w:rPr>
        <w:tab/>
      </w:r>
      <w:r>
        <w:rPr>
          <w:b w:val="0"/>
        </w:rPr>
        <w:fldChar w:fldCharType="begin"/>
      </w:r>
      <w:r>
        <w:rPr>
          <w:b w:val="0"/>
        </w:rPr>
        <w:instrText xml:space="preserve"> PAGEREF _Toc499456604 \h </w:instrText>
      </w:r>
      <w:r>
        <w:rPr>
          <w:b w:val="0"/>
        </w:rPr>
        <w:fldChar w:fldCharType="separate"/>
      </w:r>
      <w:r>
        <w:rPr>
          <w:b w:val="0"/>
        </w:rPr>
        <w:t>130</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"_Toc499456605" </w:instrText>
      </w:r>
      <w:r>
        <w:fldChar w:fldCharType="separate"/>
      </w:r>
      <w:r>
        <w:rPr>
          <w:rStyle w:val="6"/>
          <w:b w:val="0"/>
        </w:rPr>
        <w:t>A107030</w:t>
      </w:r>
      <w:r>
        <w:rPr>
          <w:b w:val="0"/>
          <w:bCs w:val="0"/>
          <w:caps w:val="0"/>
          <w:sz w:val="21"/>
          <w:szCs w:val="22"/>
        </w:rPr>
        <w:tab/>
      </w:r>
      <w:r>
        <w:rPr>
          <w:rStyle w:val="6"/>
          <w:b w:val="0"/>
        </w:rPr>
        <w:t>抵扣应纳税所得额明细表</w:t>
      </w:r>
      <w:r>
        <w:rPr>
          <w:b w:val="0"/>
        </w:rPr>
        <w:tab/>
      </w:r>
      <w:r>
        <w:rPr>
          <w:b w:val="0"/>
        </w:rPr>
        <w:fldChar w:fldCharType="begin"/>
      </w:r>
      <w:r>
        <w:rPr>
          <w:b w:val="0"/>
        </w:rPr>
        <w:instrText xml:space="preserve"> PAGEREF _Toc499456605 \h </w:instrText>
      </w:r>
      <w:r>
        <w:rPr>
          <w:b w:val="0"/>
        </w:rPr>
        <w:fldChar w:fldCharType="separate"/>
      </w:r>
      <w:r>
        <w:rPr>
          <w:b w:val="0"/>
        </w:rPr>
        <w:t>136</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"_Toc499456606" </w:instrText>
      </w:r>
      <w:r>
        <w:fldChar w:fldCharType="separate"/>
      </w:r>
      <w:r>
        <w:rPr>
          <w:rStyle w:val="6"/>
          <w:b w:val="0"/>
        </w:rPr>
        <w:t>A107030</w:t>
      </w:r>
      <w:r>
        <w:rPr>
          <w:b w:val="0"/>
          <w:bCs w:val="0"/>
          <w:caps w:val="0"/>
          <w:sz w:val="21"/>
          <w:szCs w:val="22"/>
        </w:rPr>
        <w:tab/>
      </w:r>
      <w:r>
        <w:rPr>
          <w:rStyle w:val="6"/>
          <w:b w:val="0"/>
        </w:rPr>
        <w:t>《抵扣应纳税所得额明细表》填报说明</w:t>
      </w:r>
      <w:r>
        <w:rPr>
          <w:b w:val="0"/>
        </w:rPr>
        <w:tab/>
      </w:r>
      <w:r>
        <w:rPr>
          <w:b w:val="0"/>
        </w:rPr>
        <w:fldChar w:fldCharType="begin"/>
      </w:r>
      <w:r>
        <w:rPr>
          <w:b w:val="0"/>
        </w:rPr>
        <w:instrText xml:space="preserve"> PAGEREF _Toc499456606 \h </w:instrText>
      </w:r>
      <w:r>
        <w:rPr>
          <w:b w:val="0"/>
        </w:rPr>
        <w:fldChar w:fldCharType="separate"/>
      </w:r>
      <w:r>
        <w:rPr>
          <w:b w:val="0"/>
        </w:rPr>
        <w:t>137</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"_Toc499456607" </w:instrText>
      </w:r>
      <w:r>
        <w:fldChar w:fldCharType="separate"/>
      </w:r>
      <w:r>
        <w:rPr>
          <w:rStyle w:val="6"/>
          <w:b w:val="0"/>
        </w:rPr>
        <w:t>A107040</w:t>
      </w:r>
      <w:r>
        <w:rPr>
          <w:b w:val="0"/>
          <w:bCs w:val="0"/>
          <w:caps w:val="0"/>
          <w:sz w:val="21"/>
          <w:szCs w:val="22"/>
        </w:rPr>
        <w:tab/>
      </w:r>
      <w:r>
        <w:rPr>
          <w:rStyle w:val="6"/>
          <w:b w:val="0"/>
        </w:rPr>
        <w:t>减免所得税优惠明细表</w:t>
      </w:r>
      <w:r>
        <w:rPr>
          <w:b w:val="0"/>
        </w:rPr>
        <w:tab/>
      </w:r>
      <w:r>
        <w:rPr>
          <w:b w:val="0"/>
        </w:rPr>
        <w:fldChar w:fldCharType="begin"/>
      </w:r>
      <w:r>
        <w:rPr>
          <w:b w:val="0"/>
        </w:rPr>
        <w:instrText xml:space="preserve"> PAGEREF _Toc499456607 \h </w:instrText>
      </w:r>
      <w:r>
        <w:rPr>
          <w:b w:val="0"/>
        </w:rPr>
        <w:fldChar w:fldCharType="separate"/>
      </w:r>
      <w:r>
        <w:rPr>
          <w:b w:val="0"/>
        </w:rPr>
        <w:t>141</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"_Toc499456608" </w:instrText>
      </w:r>
      <w:r>
        <w:fldChar w:fldCharType="separate"/>
      </w:r>
      <w:r>
        <w:rPr>
          <w:rStyle w:val="6"/>
          <w:b w:val="0"/>
        </w:rPr>
        <w:t>A107040</w:t>
      </w:r>
      <w:r>
        <w:rPr>
          <w:b w:val="0"/>
          <w:bCs w:val="0"/>
          <w:caps w:val="0"/>
          <w:sz w:val="21"/>
          <w:szCs w:val="22"/>
        </w:rPr>
        <w:tab/>
      </w:r>
      <w:r>
        <w:rPr>
          <w:rStyle w:val="6"/>
          <w:b w:val="0"/>
        </w:rPr>
        <w:t>《减免所得税优惠明细表》填报说明</w:t>
      </w:r>
      <w:r>
        <w:rPr>
          <w:b w:val="0"/>
        </w:rPr>
        <w:tab/>
      </w:r>
      <w:r>
        <w:rPr>
          <w:b w:val="0"/>
        </w:rPr>
        <w:fldChar w:fldCharType="begin"/>
      </w:r>
      <w:r>
        <w:rPr>
          <w:b w:val="0"/>
        </w:rPr>
        <w:instrText xml:space="preserve"> PAGEREF _Toc499456608 \h </w:instrText>
      </w:r>
      <w:r>
        <w:rPr>
          <w:b w:val="0"/>
        </w:rPr>
        <w:fldChar w:fldCharType="separate"/>
      </w:r>
      <w:r>
        <w:rPr>
          <w:b w:val="0"/>
        </w:rPr>
        <w:t>142</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"_Toc499456609" </w:instrText>
      </w:r>
      <w:r>
        <w:fldChar w:fldCharType="separate"/>
      </w:r>
      <w:r>
        <w:rPr>
          <w:rStyle w:val="6"/>
          <w:b w:val="0"/>
        </w:rPr>
        <w:t>A107041</w:t>
      </w:r>
      <w:r>
        <w:rPr>
          <w:b w:val="0"/>
          <w:bCs w:val="0"/>
          <w:caps w:val="0"/>
          <w:sz w:val="21"/>
          <w:szCs w:val="22"/>
        </w:rPr>
        <w:tab/>
      </w:r>
      <w:r>
        <w:rPr>
          <w:rStyle w:val="6"/>
          <w:b w:val="0"/>
        </w:rPr>
        <w:t>高新技术企业优惠情况及明细表</w:t>
      </w:r>
      <w:r>
        <w:rPr>
          <w:b w:val="0"/>
        </w:rPr>
        <w:tab/>
      </w:r>
      <w:r>
        <w:rPr>
          <w:b w:val="0"/>
        </w:rPr>
        <w:fldChar w:fldCharType="begin"/>
      </w:r>
      <w:r>
        <w:rPr>
          <w:b w:val="0"/>
        </w:rPr>
        <w:instrText xml:space="preserve"> PAGEREF _Toc499456609 \h </w:instrText>
      </w:r>
      <w:r>
        <w:rPr>
          <w:b w:val="0"/>
        </w:rPr>
        <w:fldChar w:fldCharType="separate"/>
      </w:r>
      <w:r>
        <w:rPr>
          <w:b w:val="0"/>
        </w:rPr>
        <w:t>152</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"_Toc499456610" </w:instrText>
      </w:r>
      <w:r>
        <w:fldChar w:fldCharType="separate"/>
      </w:r>
      <w:r>
        <w:rPr>
          <w:rStyle w:val="6"/>
          <w:b w:val="0"/>
        </w:rPr>
        <w:t>A107041</w:t>
      </w:r>
      <w:r>
        <w:rPr>
          <w:b w:val="0"/>
          <w:bCs w:val="0"/>
          <w:caps w:val="0"/>
          <w:sz w:val="21"/>
          <w:szCs w:val="22"/>
        </w:rPr>
        <w:tab/>
      </w:r>
      <w:r>
        <w:rPr>
          <w:rStyle w:val="6"/>
          <w:b w:val="0"/>
        </w:rPr>
        <w:t>《高新技术企业优惠情况及明细表》填报说明</w:t>
      </w:r>
      <w:r>
        <w:rPr>
          <w:b w:val="0"/>
        </w:rPr>
        <w:tab/>
      </w:r>
      <w:r>
        <w:rPr>
          <w:b w:val="0"/>
        </w:rPr>
        <w:fldChar w:fldCharType="begin"/>
      </w:r>
      <w:r>
        <w:rPr>
          <w:b w:val="0"/>
        </w:rPr>
        <w:instrText xml:space="preserve"> PAGEREF _Toc499456610 \h </w:instrText>
      </w:r>
      <w:r>
        <w:rPr>
          <w:b w:val="0"/>
        </w:rPr>
        <w:fldChar w:fldCharType="separate"/>
      </w:r>
      <w:r>
        <w:rPr>
          <w:b w:val="0"/>
        </w:rPr>
        <w:t>153</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"_Toc499456611" </w:instrText>
      </w:r>
      <w:r>
        <w:fldChar w:fldCharType="separate"/>
      </w:r>
      <w:r>
        <w:rPr>
          <w:rStyle w:val="6"/>
          <w:b w:val="0"/>
        </w:rPr>
        <w:t>A107042</w:t>
      </w:r>
      <w:r>
        <w:rPr>
          <w:b w:val="0"/>
          <w:bCs w:val="0"/>
          <w:caps w:val="0"/>
          <w:sz w:val="21"/>
          <w:szCs w:val="22"/>
        </w:rPr>
        <w:tab/>
      </w:r>
      <w:r>
        <w:rPr>
          <w:rStyle w:val="6"/>
          <w:b w:val="0"/>
        </w:rPr>
        <w:t>软件、集成电路企业优惠情况及明细表</w:t>
      </w:r>
      <w:r>
        <w:rPr>
          <w:b w:val="0"/>
        </w:rPr>
        <w:tab/>
      </w:r>
      <w:r>
        <w:rPr>
          <w:b w:val="0"/>
        </w:rPr>
        <w:fldChar w:fldCharType="begin"/>
      </w:r>
      <w:r>
        <w:rPr>
          <w:b w:val="0"/>
        </w:rPr>
        <w:instrText xml:space="preserve"> PAGEREF _Toc499456611 \h </w:instrText>
      </w:r>
      <w:r>
        <w:rPr>
          <w:b w:val="0"/>
        </w:rPr>
        <w:fldChar w:fldCharType="separate"/>
      </w:r>
      <w:r>
        <w:rPr>
          <w:b w:val="0"/>
        </w:rPr>
        <w:t>157</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"_Toc499456612" </w:instrText>
      </w:r>
      <w:r>
        <w:fldChar w:fldCharType="separate"/>
      </w:r>
      <w:r>
        <w:rPr>
          <w:rStyle w:val="6"/>
          <w:b w:val="0"/>
        </w:rPr>
        <w:t>A107042</w:t>
      </w:r>
      <w:r>
        <w:rPr>
          <w:b w:val="0"/>
          <w:bCs w:val="0"/>
          <w:caps w:val="0"/>
          <w:sz w:val="21"/>
          <w:szCs w:val="22"/>
        </w:rPr>
        <w:tab/>
      </w:r>
      <w:r>
        <w:rPr>
          <w:rStyle w:val="6"/>
          <w:b w:val="0"/>
        </w:rPr>
        <w:t>《软件、集成电路企业优惠情况及明细表》填报说明</w:t>
      </w:r>
      <w:r>
        <w:rPr>
          <w:b w:val="0"/>
        </w:rPr>
        <w:tab/>
      </w:r>
      <w:r>
        <w:rPr>
          <w:b w:val="0"/>
        </w:rPr>
        <w:fldChar w:fldCharType="begin"/>
      </w:r>
      <w:r>
        <w:rPr>
          <w:b w:val="0"/>
        </w:rPr>
        <w:instrText xml:space="preserve"> PAGEREF _Toc499456612 \h </w:instrText>
      </w:r>
      <w:r>
        <w:rPr>
          <w:b w:val="0"/>
        </w:rPr>
        <w:fldChar w:fldCharType="separate"/>
      </w:r>
      <w:r>
        <w:rPr>
          <w:b w:val="0"/>
        </w:rPr>
        <w:t>158</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"_Toc499456613" </w:instrText>
      </w:r>
      <w:r>
        <w:fldChar w:fldCharType="separate"/>
      </w:r>
      <w:r>
        <w:rPr>
          <w:rStyle w:val="6"/>
          <w:b w:val="0"/>
        </w:rPr>
        <w:t>A107050</w:t>
      </w:r>
      <w:r>
        <w:rPr>
          <w:b w:val="0"/>
          <w:bCs w:val="0"/>
          <w:caps w:val="0"/>
          <w:sz w:val="21"/>
          <w:szCs w:val="22"/>
        </w:rPr>
        <w:tab/>
      </w:r>
      <w:r>
        <w:rPr>
          <w:rStyle w:val="6"/>
          <w:b w:val="0"/>
        </w:rPr>
        <w:t>税额抵免优惠明细表</w:t>
      </w:r>
      <w:r>
        <w:rPr>
          <w:b w:val="0"/>
        </w:rPr>
        <w:tab/>
      </w:r>
      <w:r>
        <w:rPr>
          <w:b w:val="0"/>
        </w:rPr>
        <w:fldChar w:fldCharType="begin"/>
      </w:r>
      <w:r>
        <w:rPr>
          <w:b w:val="0"/>
        </w:rPr>
        <w:instrText xml:space="preserve"> PAGEREF _Toc499456613 \h </w:instrText>
      </w:r>
      <w:r>
        <w:rPr>
          <w:b w:val="0"/>
        </w:rPr>
        <w:fldChar w:fldCharType="separate"/>
      </w:r>
      <w:r>
        <w:rPr>
          <w:b w:val="0"/>
        </w:rPr>
        <w:t>164</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"_Toc499456614" </w:instrText>
      </w:r>
      <w:r>
        <w:fldChar w:fldCharType="separate"/>
      </w:r>
      <w:r>
        <w:rPr>
          <w:rStyle w:val="6"/>
          <w:b w:val="0"/>
        </w:rPr>
        <w:t>A107050</w:t>
      </w:r>
      <w:r>
        <w:rPr>
          <w:b w:val="0"/>
          <w:bCs w:val="0"/>
          <w:caps w:val="0"/>
          <w:sz w:val="21"/>
          <w:szCs w:val="22"/>
        </w:rPr>
        <w:tab/>
      </w:r>
      <w:r>
        <w:rPr>
          <w:rStyle w:val="6"/>
          <w:b w:val="0"/>
        </w:rPr>
        <w:t>《税额抵免优惠明细表》填报说明</w:t>
      </w:r>
      <w:r>
        <w:rPr>
          <w:b w:val="0"/>
        </w:rPr>
        <w:tab/>
      </w:r>
      <w:r>
        <w:rPr>
          <w:b w:val="0"/>
        </w:rPr>
        <w:fldChar w:fldCharType="begin"/>
      </w:r>
      <w:r>
        <w:rPr>
          <w:b w:val="0"/>
        </w:rPr>
        <w:instrText xml:space="preserve"> PAGEREF _Toc499456614 \h </w:instrText>
      </w:r>
      <w:r>
        <w:rPr>
          <w:b w:val="0"/>
        </w:rPr>
        <w:fldChar w:fldCharType="separate"/>
      </w:r>
      <w:r>
        <w:rPr>
          <w:b w:val="0"/>
        </w:rPr>
        <w:t>165</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"_Toc499456615" </w:instrText>
      </w:r>
      <w:r>
        <w:fldChar w:fldCharType="separate"/>
      </w:r>
      <w:r>
        <w:rPr>
          <w:rStyle w:val="6"/>
          <w:b w:val="0"/>
        </w:rPr>
        <w:t>A108000</w:t>
      </w:r>
      <w:r>
        <w:rPr>
          <w:b w:val="0"/>
          <w:bCs w:val="0"/>
          <w:caps w:val="0"/>
          <w:sz w:val="21"/>
          <w:szCs w:val="22"/>
        </w:rPr>
        <w:tab/>
      </w:r>
      <w:r>
        <w:rPr>
          <w:rStyle w:val="6"/>
          <w:b w:val="0"/>
        </w:rPr>
        <w:t>境外所得税收抵免明细表</w:t>
      </w:r>
      <w:r>
        <w:rPr>
          <w:b w:val="0"/>
        </w:rPr>
        <w:tab/>
      </w:r>
      <w:r>
        <w:rPr>
          <w:b w:val="0"/>
        </w:rPr>
        <w:fldChar w:fldCharType="begin"/>
      </w:r>
      <w:r>
        <w:rPr>
          <w:b w:val="0"/>
        </w:rPr>
        <w:instrText xml:space="preserve"> PAGEREF _Toc499456615 \h </w:instrText>
      </w:r>
      <w:r>
        <w:rPr>
          <w:b w:val="0"/>
        </w:rPr>
        <w:fldChar w:fldCharType="separate"/>
      </w:r>
      <w:r>
        <w:rPr>
          <w:b w:val="0"/>
        </w:rPr>
        <w:t>168</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"_Toc499456616" </w:instrText>
      </w:r>
      <w:r>
        <w:fldChar w:fldCharType="separate"/>
      </w:r>
      <w:r>
        <w:rPr>
          <w:rStyle w:val="6"/>
          <w:b w:val="0"/>
        </w:rPr>
        <w:t>A108000</w:t>
      </w:r>
      <w:r>
        <w:rPr>
          <w:b w:val="0"/>
          <w:bCs w:val="0"/>
          <w:caps w:val="0"/>
          <w:sz w:val="21"/>
          <w:szCs w:val="22"/>
        </w:rPr>
        <w:tab/>
      </w:r>
      <w:r>
        <w:rPr>
          <w:rStyle w:val="6"/>
          <w:b w:val="0"/>
        </w:rPr>
        <w:t>《境外所得税收抵免明细表》填报说明</w:t>
      </w:r>
      <w:r>
        <w:rPr>
          <w:b w:val="0"/>
        </w:rPr>
        <w:tab/>
      </w:r>
      <w:r>
        <w:rPr>
          <w:b w:val="0"/>
        </w:rPr>
        <w:fldChar w:fldCharType="begin"/>
      </w:r>
      <w:r>
        <w:rPr>
          <w:b w:val="0"/>
        </w:rPr>
        <w:instrText xml:space="preserve"> PAGEREF _Toc499456616 \h </w:instrText>
      </w:r>
      <w:r>
        <w:rPr>
          <w:b w:val="0"/>
        </w:rPr>
        <w:fldChar w:fldCharType="separate"/>
      </w:r>
      <w:r>
        <w:rPr>
          <w:b w:val="0"/>
        </w:rPr>
        <w:t>169</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"_Toc499456617" </w:instrText>
      </w:r>
      <w:r>
        <w:fldChar w:fldCharType="separate"/>
      </w:r>
      <w:r>
        <w:rPr>
          <w:rStyle w:val="6"/>
          <w:b w:val="0"/>
        </w:rPr>
        <w:t>A108010</w:t>
      </w:r>
      <w:r>
        <w:rPr>
          <w:b w:val="0"/>
          <w:bCs w:val="0"/>
          <w:caps w:val="0"/>
          <w:sz w:val="21"/>
          <w:szCs w:val="22"/>
        </w:rPr>
        <w:tab/>
      </w:r>
      <w:r>
        <w:rPr>
          <w:rStyle w:val="6"/>
          <w:b w:val="0"/>
        </w:rPr>
        <w:t>境外所得纳税调整后所得明细表</w:t>
      </w:r>
      <w:r>
        <w:rPr>
          <w:b w:val="0"/>
        </w:rPr>
        <w:tab/>
      </w:r>
      <w:r>
        <w:rPr>
          <w:b w:val="0"/>
        </w:rPr>
        <w:fldChar w:fldCharType="begin"/>
      </w:r>
      <w:r>
        <w:rPr>
          <w:b w:val="0"/>
        </w:rPr>
        <w:instrText xml:space="preserve"> PAGEREF _Toc499456617 \h </w:instrText>
      </w:r>
      <w:r>
        <w:rPr>
          <w:b w:val="0"/>
        </w:rPr>
        <w:fldChar w:fldCharType="separate"/>
      </w:r>
      <w:r>
        <w:rPr>
          <w:b w:val="0"/>
        </w:rPr>
        <w:t>173</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"_Toc499456618" </w:instrText>
      </w:r>
      <w:r>
        <w:fldChar w:fldCharType="separate"/>
      </w:r>
      <w:r>
        <w:rPr>
          <w:rStyle w:val="6"/>
          <w:b w:val="0"/>
        </w:rPr>
        <w:t>A108010</w:t>
      </w:r>
      <w:r>
        <w:rPr>
          <w:b w:val="0"/>
          <w:bCs w:val="0"/>
          <w:caps w:val="0"/>
          <w:sz w:val="21"/>
          <w:szCs w:val="22"/>
        </w:rPr>
        <w:tab/>
      </w:r>
      <w:r>
        <w:rPr>
          <w:rStyle w:val="6"/>
          <w:b w:val="0"/>
        </w:rPr>
        <w:t>《境外所得纳税调整后所得明细表》填报说明</w:t>
      </w:r>
      <w:r>
        <w:rPr>
          <w:b w:val="0"/>
        </w:rPr>
        <w:tab/>
      </w:r>
      <w:r>
        <w:rPr>
          <w:b w:val="0"/>
        </w:rPr>
        <w:fldChar w:fldCharType="begin"/>
      </w:r>
      <w:r>
        <w:rPr>
          <w:b w:val="0"/>
        </w:rPr>
        <w:instrText xml:space="preserve"> PAGEREF _Toc499456618 \h </w:instrText>
      </w:r>
      <w:r>
        <w:rPr>
          <w:b w:val="0"/>
        </w:rPr>
        <w:fldChar w:fldCharType="separate"/>
      </w:r>
      <w:r>
        <w:rPr>
          <w:b w:val="0"/>
        </w:rPr>
        <w:t>174</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"_Toc499456619" </w:instrText>
      </w:r>
      <w:r>
        <w:fldChar w:fldCharType="separate"/>
      </w:r>
      <w:r>
        <w:rPr>
          <w:rStyle w:val="6"/>
          <w:b w:val="0"/>
        </w:rPr>
        <w:t>A108020</w:t>
      </w:r>
      <w:r>
        <w:rPr>
          <w:b w:val="0"/>
          <w:bCs w:val="0"/>
          <w:caps w:val="0"/>
          <w:sz w:val="21"/>
          <w:szCs w:val="22"/>
        </w:rPr>
        <w:tab/>
      </w:r>
      <w:r>
        <w:rPr>
          <w:rStyle w:val="6"/>
          <w:b w:val="0"/>
        </w:rPr>
        <w:t>境外分支机构弥补亏损明细表</w:t>
      </w:r>
      <w:r>
        <w:rPr>
          <w:b w:val="0"/>
        </w:rPr>
        <w:tab/>
      </w:r>
      <w:r>
        <w:rPr>
          <w:b w:val="0"/>
        </w:rPr>
        <w:fldChar w:fldCharType="begin"/>
      </w:r>
      <w:r>
        <w:rPr>
          <w:b w:val="0"/>
        </w:rPr>
        <w:instrText xml:space="preserve"> PAGEREF _Toc499456619 \h </w:instrText>
      </w:r>
      <w:r>
        <w:rPr>
          <w:b w:val="0"/>
        </w:rPr>
        <w:fldChar w:fldCharType="separate"/>
      </w:r>
      <w:r>
        <w:rPr>
          <w:b w:val="0"/>
        </w:rPr>
        <w:t>176</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"_Toc499456620" </w:instrText>
      </w:r>
      <w:r>
        <w:fldChar w:fldCharType="separate"/>
      </w:r>
      <w:r>
        <w:rPr>
          <w:rStyle w:val="6"/>
          <w:b w:val="0"/>
        </w:rPr>
        <w:t>A108020</w:t>
      </w:r>
      <w:r>
        <w:rPr>
          <w:b w:val="0"/>
          <w:bCs w:val="0"/>
          <w:caps w:val="0"/>
          <w:sz w:val="21"/>
          <w:szCs w:val="22"/>
        </w:rPr>
        <w:tab/>
      </w:r>
      <w:r>
        <w:rPr>
          <w:rStyle w:val="6"/>
          <w:b w:val="0"/>
        </w:rPr>
        <w:t>《境外分支机构弥补亏损明细表》填报说明</w:t>
      </w:r>
      <w:r>
        <w:rPr>
          <w:b w:val="0"/>
        </w:rPr>
        <w:tab/>
      </w:r>
      <w:r>
        <w:rPr>
          <w:b w:val="0"/>
        </w:rPr>
        <w:fldChar w:fldCharType="begin"/>
      </w:r>
      <w:r>
        <w:rPr>
          <w:b w:val="0"/>
        </w:rPr>
        <w:instrText xml:space="preserve"> PAGEREF _Toc499456620 \h </w:instrText>
      </w:r>
      <w:r>
        <w:rPr>
          <w:b w:val="0"/>
        </w:rPr>
        <w:fldChar w:fldCharType="separate"/>
      </w:r>
      <w:r>
        <w:rPr>
          <w:b w:val="0"/>
        </w:rPr>
        <w:t>177</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"_Toc499456621" </w:instrText>
      </w:r>
      <w:r>
        <w:fldChar w:fldCharType="separate"/>
      </w:r>
      <w:r>
        <w:rPr>
          <w:rStyle w:val="6"/>
          <w:b w:val="0"/>
        </w:rPr>
        <w:t>A108030</w:t>
      </w:r>
      <w:r>
        <w:rPr>
          <w:b w:val="0"/>
          <w:bCs w:val="0"/>
          <w:caps w:val="0"/>
          <w:sz w:val="21"/>
          <w:szCs w:val="22"/>
        </w:rPr>
        <w:tab/>
      </w:r>
      <w:r>
        <w:rPr>
          <w:rStyle w:val="6"/>
          <w:b w:val="0"/>
        </w:rPr>
        <w:t>跨年度结转抵免境外所得税明细表</w:t>
      </w:r>
      <w:r>
        <w:rPr>
          <w:b w:val="0"/>
        </w:rPr>
        <w:tab/>
      </w:r>
      <w:r>
        <w:rPr>
          <w:b w:val="0"/>
        </w:rPr>
        <w:fldChar w:fldCharType="begin"/>
      </w:r>
      <w:r>
        <w:rPr>
          <w:b w:val="0"/>
        </w:rPr>
        <w:instrText xml:space="preserve"> PAGEREF _Toc499456621 \h </w:instrText>
      </w:r>
      <w:r>
        <w:rPr>
          <w:b w:val="0"/>
        </w:rPr>
        <w:fldChar w:fldCharType="separate"/>
      </w:r>
      <w:r>
        <w:rPr>
          <w:b w:val="0"/>
        </w:rPr>
        <w:t>179</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"_Toc499456622" </w:instrText>
      </w:r>
      <w:r>
        <w:fldChar w:fldCharType="separate"/>
      </w:r>
      <w:r>
        <w:rPr>
          <w:rStyle w:val="6"/>
          <w:b w:val="0"/>
        </w:rPr>
        <w:t>A108030</w:t>
      </w:r>
      <w:r>
        <w:rPr>
          <w:b w:val="0"/>
          <w:bCs w:val="0"/>
          <w:caps w:val="0"/>
          <w:sz w:val="21"/>
          <w:szCs w:val="22"/>
        </w:rPr>
        <w:tab/>
      </w:r>
      <w:r>
        <w:rPr>
          <w:rStyle w:val="6"/>
          <w:b w:val="0"/>
        </w:rPr>
        <w:t>《跨年度结转抵免境外所得税明细表》填报说明</w:t>
      </w:r>
      <w:r>
        <w:rPr>
          <w:b w:val="0"/>
        </w:rPr>
        <w:tab/>
      </w:r>
      <w:r>
        <w:rPr>
          <w:b w:val="0"/>
        </w:rPr>
        <w:fldChar w:fldCharType="begin"/>
      </w:r>
      <w:r>
        <w:rPr>
          <w:b w:val="0"/>
        </w:rPr>
        <w:instrText xml:space="preserve"> PAGEREF _Toc499456622 \h </w:instrText>
      </w:r>
      <w:r>
        <w:rPr>
          <w:b w:val="0"/>
        </w:rPr>
        <w:fldChar w:fldCharType="separate"/>
      </w:r>
      <w:r>
        <w:rPr>
          <w:b w:val="0"/>
        </w:rPr>
        <w:t>180</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"_Toc499456623" </w:instrText>
      </w:r>
      <w:r>
        <w:fldChar w:fldCharType="separate"/>
      </w:r>
      <w:r>
        <w:rPr>
          <w:rStyle w:val="6"/>
          <w:b w:val="0"/>
        </w:rPr>
        <w:t>A109000</w:t>
      </w:r>
      <w:r>
        <w:rPr>
          <w:b w:val="0"/>
          <w:bCs w:val="0"/>
          <w:caps w:val="0"/>
          <w:sz w:val="21"/>
          <w:szCs w:val="22"/>
        </w:rPr>
        <w:tab/>
      </w:r>
      <w:r>
        <w:rPr>
          <w:rStyle w:val="6"/>
          <w:b w:val="0"/>
        </w:rPr>
        <w:t>跨地区经营汇总纳税企业年度分摊企业所得税明细表</w:t>
      </w:r>
      <w:r>
        <w:rPr>
          <w:b w:val="0"/>
        </w:rPr>
        <w:tab/>
      </w:r>
      <w:r>
        <w:rPr>
          <w:b w:val="0"/>
        </w:rPr>
        <w:fldChar w:fldCharType="begin"/>
      </w:r>
      <w:r>
        <w:rPr>
          <w:b w:val="0"/>
        </w:rPr>
        <w:instrText xml:space="preserve"> PAGEREF _Toc499456623 \h </w:instrText>
      </w:r>
      <w:r>
        <w:rPr>
          <w:b w:val="0"/>
        </w:rPr>
        <w:fldChar w:fldCharType="separate"/>
      </w:r>
      <w:r>
        <w:rPr>
          <w:b w:val="0"/>
        </w:rPr>
        <w:t>182</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"_Toc499456624" </w:instrText>
      </w:r>
      <w:r>
        <w:fldChar w:fldCharType="separate"/>
      </w:r>
      <w:r>
        <w:rPr>
          <w:rStyle w:val="6"/>
          <w:b w:val="0"/>
        </w:rPr>
        <w:t>A109000</w:t>
      </w:r>
      <w:r>
        <w:rPr>
          <w:b w:val="0"/>
          <w:bCs w:val="0"/>
          <w:caps w:val="0"/>
          <w:sz w:val="21"/>
          <w:szCs w:val="22"/>
        </w:rPr>
        <w:tab/>
      </w:r>
      <w:r>
        <w:rPr>
          <w:rStyle w:val="6"/>
          <w:b w:val="0"/>
        </w:rPr>
        <w:t>《跨地区经营汇总纳税企业年度分摊企业所得税明细表》填报说明</w:t>
      </w:r>
      <w:r>
        <w:rPr>
          <w:b w:val="0"/>
        </w:rPr>
        <w:tab/>
      </w:r>
      <w:r>
        <w:rPr>
          <w:b w:val="0"/>
        </w:rPr>
        <w:fldChar w:fldCharType="begin"/>
      </w:r>
      <w:r>
        <w:rPr>
          <w:b w:val="0"/>
        </w:rPr>
        <w:instrText xml:space="preserve"> PAGEREF _Toc499456624 \h </w:instrText>
      </w:r>
      <w:r>
        <w:rPr>
          <w:b w:val="0"/>
        </w:rPr>
        <w:fldChar w:fldCharType="separate"/>
      </w:r>
      <w:r>
        <w:rPr>
          <w:b w:val="0"/>
        </w:rPr>
        <w:t>183</w:t>
      </w:r>
      <w:r>
        <w:rPr>
          <w:b w:val="0"/>
        </w:rPr>
        <w:fldChar w:fldCharType="end"/>
      </w:r>
      <w:r>
        <w:rPr>
          <w:b w:val="0"/>
        </w:rPr>
        <w:fldChar w:fldCharType="end"/>
      </w:r>
    </w:p>
    <w:p>
      <w:pPr>
        <w:pStyle w:val="4"/>
        <w:tabs>
          <w:tab w:val="left" w:pos="1260"/>
          <w:tab w:val="right" w:leader="dot" w:pos="8947"/>
        </w:tabs>
        <w:rPr>
          <w:b w:val="0"/>
          <w:bCs w:val="0"/>
          <w:caps w:val="0"/>
          <w:sz w:val="21"/>
          <w:szCs w:val="22"/>
        </w:rPr>
      </w:pPr>
      <w:r>
        <w:fldChar w:fldCharType="begin"/>
      </w:r>
      <w:r>
        <w:instrText xml:space="preserve"> HYPERLINK \l "_Toc499456625" </w:instrText>
      </w:r>
      <w:r>
        <w:fldChar w:fldCharType="separate"/>
      </w:r>
      <w:r>
        <w:rPr>
          <w:rStyle w:val="6"/>
          <w:b w:val="0"/>
        </w:rPr>
        <w:t>A109010</w:t>
      </w:r>
      <w:r>
        <w:rPr>
          <w:b w:val="0"/>
          <w:bCs w:val="0"/>
          <w:caps w:val="0"/>
          <w:sz w:val="21"/>
          <w:szCs w:val="22"/>
        </w:rPr>
        <w:tab/>
      </w:r>
      <w:r>
        <w:rPr>
          <w:rStyle w:val="6"/>
          <w:b w:val="0"/>
        </w:rPr>
        <w:t>企业所得税汇总纳税分支机构所得税分配表</w:t>
      </w:r>
      <w:r>
        <w:rPr>
          <w:b w:val="0"/>
        </w:rPr>
        <w:tab/>
      </w:r>
      <w:r>
        <w:rPr>
          <w:b w:val="0"/>
        </w:rPr>
        <w:fldChar w:fldCharType="begin"/>
      </w:r>
      <w:r>
        <w:rPr>
          <w:b w:val="0"/>
        </w:rPr>
        <w:instrText xml:space="preserve"> PAGEREF _Toc499456625 \h </w:instrText>
      </w:r>
      <w:r>
        <w:rPr>
          <w:b w:val="0"/>
        </w:rPr>
        <w:fldChar w:fldCharType="separate"/>
      </w:r>
      <w:r>
        <w:rPr>
          <w:b w:val="0"/>
        </w:rPr>
        <w:t>186</w:t>
      </w:r>
      <w:r>
        <w:rPr>
          <w:b w:val="0"/>
        </w:rPr>
        <w:fldChar w:fldCharType="end"/>
      </w:r>
      <w:r>
        <w:rPr>
          <w:b w:val="0"/>
        </w:rPr>
        <w:fldChar w:fldCharType="end"/>
      </w:r>
    </w:p>
    <w:p>
      <w:pPr>
        <w:pStyle w:val="4"/>
        <w:tabs>
          <w:tab w:val="left" w:pos="1050"/>
          <w:tab w:val="right" w:leader="dot" w:pos="8947"/>
        </w:tabs>
        <w:rPr>
          <w:b w:val="0"/>
          <w:bCs w:val="0"/>
          <w:caps w:val="0"/>
          <w:sz w:val="21"/>
          <w:szCs w:val="22"/>
        </w:rPr>
      </w:pPr>
      <w:r>
        <w:fldChar w:fldCharType="begin"/>
      </w:r>
      <w:r>
        <w:instrText xml:space="preserve"> HYPERLINK \l "_Toc499456626" </w:instrText>
      </w:r>
      <w:r>
        <w:fldChar w:fldCharType="separate"/>
      </w:r>
      <w:r>
        <w:rPr>
          <w:rStyle w:val="6"/>
          <w:b w:val="0"/>
        </w:rPr>
        <w:t>A109010</w:t>
      </w:r>
      <w:r>
        <w:rPr>
          <w:b w:val="0"/>
          <w:bCs w:val="0"/>
          <w:caps w:val="0"/>
          <w:sz w:val="21"/>
          <w:szCs w:val="22"/>
        </w:rPr>
        <w:tab/>
      </w:r>
      <w:r>
        <w:rPr>
          <w:rStyle w:val="6"/>
          <w:b w:val="0"/>
        </w:rPr>
        <w:t>《企业所得税汇总纳税分支机构所得税分配表》填报说明</w:t>
      </w:r>
      <w:r>
        <w:rPr>
          <w:b w:val="0"/>
        </w:rPr>
        <w:tab/>
      </w:r>
      <w:r>
        <w:rPr>
          <w:b w:val="0"/>
        </w:rPr>
        <w:fldChar w:fldCharType="begin"/>
      </w:r>
      <w:r>
        <w:rPr>
          <w:b w:val="0"/>
        </w:rPr>
        <w:instrText xml:space="preserve"> PAGEREF _Toc499456626 \h </w:instrText>
      </w:r>
      <w:r>
        <w:rPr>
          <w:b w:val="0"/>
        </w:rPr>
        <w:fldChar w:fldCharType="separate"/>
      </w:r>
      <w:r>
        <w:rPr>
          <w:b w:val="0"/>
        </w:rPr>
        <w:t>187</w:t>
      </w:r>
      <w:r>
        <w:rPr>
          <w:b w:val="0"/>
        </w:rPr>
        <w:fldChar w:fldCharType="end"/>
      </w:r>
      <w:r>
        <w:rPr>
          <w:b w:val="0"/>
        </w:rPr>
        <w:fldChar w:fldCharType="end"/>
      </w:r>
    </w:p>
    <w:p>
      <w:pPr>
        <w:spacing w:line="360" w:lineRule="auto"/>
        <w:rPr>
          <w:rFonts w:ascii="宋体" w:hAnsi="宋体"/>
          <w:color w:val="000000"/>
          <w:szCs w:val="21"/>
        </w:rPr>
        <w:sectPr>
          <w:footerReference r:id="rId5" w:type="first"/>
          <w:type w:val="oddPage"/>
          <w:pgSz w:w="11906" w:h="16838"/>
          <w:pgMar w:top="1985" w:right="1418" w:bottom="1928" w:left="1418" w:header="851" w:footer="992" w:gutter="113"/>
          <w:pgNumType w:fmt="upperRoman" w:start="1"/>
          <w:cols w:space="425" w:num="1"/>
          <w:docGrid w:linePitch="312" w:charSpace="0"/>
        </w:sectPr>
      </w:pPr>
      <w:r>
        <w:rPr>
          <w:rFonts w:hint="eastAsia" w:ascii="宋体" w:hAnsi="宋体"/>
          <w:bCs/>
          <w:caps/>
          <w:color w:val="000000"/>
          <w:szCs w:val="21"/>
        </w:rPr>
        <w:fldChar w:fldCharType="end"/>
      </w:r>
    </w:p>
    <w:p>
      <w:pPr>
        <w:pStyle w:val="8"/>
        <w:spacing w:before="360" w:beforeLines="150" w:after="240" w:afterLines="100"/>
        <w:rPr>
          <w:color w:val="F2F2F2"/>
          <w:sz w:val="2"/>
        </w:rPr>
      </w:pPr>
      <w:bookmarkStart w:id="4" w:name="_Toc499456549"/>
      <w:bookmarkStart w:id="5" w:name="_Toc393480170"/>
      <w:r>
        <w:rPr>
          <w:rFonts w:hint="eastAsia"/>
          <w:sz w:val="36"/>
        </w:rPr>
        <w:t>中华人民共和国企业所得税年度纳税申报表</w:t>
      </w:r>
      <w:r>
        <w:rPr>
          <w:sz w:val="36"/>
        </w:rPr>
        <w:br w:type="textWrapping"/>
      </w:r>
      <w:bookmarkEnd w:id="4"/>
    </w:p>
    <w:tbl>
      <w:tblPr>
        <w:tblStyle w:val="7"/>
        <w:tblW w:w="9789" w:type="dxa"/>
        <w:jc w:val="center"/>
        <w:tblInd w:w="0" w:type="dxa"/>
        <w:tblLayout w:type="fixed"/>
        <w:tblCellMar>
          <w:top w:w="0" w:type="dxa"/>
          <w:left w:w="108" w:type="dxa"/>
          <w:bottom w:w="0" w:type="dxa"/>
          <w:right w:w="108" w:type="dxa"/>
        </w:tblCellMar>
      </w:tblPr>
      <w:tblGrid>
        <w:gridCol w:w="1080"/>
        <w:gridCol w:w="1079"/>
        <w:gridCol w:w="960"/>
        <w:gridCol w:w="992"/>
        <w:gridCol w:w="88"/>
        <w:gridCol w:w="1080"/>
        <w:gridCol w:w="1314"/>
        <w:gridCol w:w="1084"/>
        <w:gridCol w:w="1082"/>
        <w:gridCol w:w="984"/>
        <w:gridCol w:w="46"/>
      </w:tblGrid>
      <w:tr>
        <w:tblPrEx>
          <w:tblLayout w:type="fixed"/>
          <w:tblCellMar>
            <w:top w:w="0" w:type="dxa"/>
            <w:left w:w="108" w:type="dxa"/>
            <w:bottom w:w="0" w:type="dxa"/>
            <w:right w:w="108" w:type="dxa"/>
          </w:tblCellMar>
        </w:tblPrEx>
        <w:trPr>
          <w:trHeight w:val="285" w:hRule="atLeast"/>
          <w:jc w:val="center"/>
        </w:trPr>
        <w:tc>
          <w:tcPr>
            <w:tcW w:w="9789" w:type="dxa"/>
            <w:gridSpan w:val="11"/>
            <w:shd w:val="clear" w:color="auto" w:fill="auto"/>
            <w:vAlign w:val="bottom"/>
          </w:tcPr>
          <w:p>
            <w:pPr>
              <w:widowControl/>
              <w:jc w:val="center"/>
              <w:rPr>
                <w:rFonts w:ascii="宋体" w:hAnsi="宋体" w:cs="宋体"/>
                <w:b/>
                <w:kern w:val="0"/>
                <w:sz w:val="24"/>
              </w:rPr>
            </w:pPr>
            <w:r>
              <w:rPr>
                <w:rFonts w:hint="eastAsia" w:ascii="宋体" w:hAnsi="宋体" w:cs="宋体"/>
                <w:b/>
                <w:kern w:val="0"/>
                <w:sz w:val="24"/>
              </w:rPr>
              <w:t>（A类 , 2017年版）</w:t>
            </w:r>
          </w:p>
        </w:tc>
      </w:tr>
      <w:tr>
        <w:tblPrEx>
          <w:tblLayout w:type="fixed"/>
          <w:tblCellMar>
            <w:top w:w="0" w:type="dxa"/>
            <w:left w:w="108" w:type="dxa"/>
            <w:bottom w:w="0" w:type="dxa"/>
            <w:right w:w="108" w:type="dxa"/>
          </w:tblCellMar>
        </w:tblPrEx>
        <w:trPr>
          <w:trHeight w:val="479" w:hRule="atLeast"/>
          <w:jc w:val="center"/>
        </w:trPr>
        <w:tc>
          <w:tcPr>
            <w:tcW w:w="9789" w:type="dxa"/>
            <w:gridSpan w:val="11"/>
            <w:shd w:val="clear" w:color="auto" w:fill="auto"/>
            <w:vAlign w:val="bottom"/>
          </w:tcPr>
          <w:p>
            <w:pPr>
              <w:widowControl/>
              <w:ind w:left="630" w:leftChars="300"/>
              <w:jc w:val="left"/>
              <w:rPr>
                <w:rFonts w:ascii="宋体" w:hAnsi="宋体" w:cs="宋体"/>
                <w:kern w:val="0"/>
                <w:sz w:val="24"/>
              </w:rPr>
            </w:pPr>
          </w:p>
        </w:tc>
      </w:tr>
      <w:tr>
        <w:tblPrEx>
          <w:tblLayout w:type="fixed"/>
          <w:tblCellMar>
            <w:top w:w="0" w:type="dxa"/>
            <w:left w:w="108" w:type="dxa"/>
            <w:bottom w:w="0" w:type="dxa"/>
            <w:right w:w="108" w:type="dxa"/>
          </w:tblCellMar>
        </w:tblPrEx>
        <w:trPr>
          <w:trHeight w:val="680" w:hRule="atLeast"/>
          <w:jc w:val="center"/>
        </w:trPr>
        <w:tc>
          <w:tcPr>
            <w:tcW w:w="9789" w:type="dxa"/>
            <w:gridSpan w:val="11"/>
            <w:shd w:val="clear" w:color="auto" w:fill="auto"/>
            <w:vAlign w:val="center"/>
          </w:tcPr>
          <w:p>
            <w:pPr>
              <w:widowControl/>
              <w:ind w:left="1000" w:leftChars="476"/>
              <w:rPr>
                <w:rFonts w:ascii="宋体" w:hAnsi="宋体" w:cs="宋体"/>
                <w:kern w:val="0"/>
                <w:sz w:val="24"/>
              </w:rPr>
            </w:pPr>
            <w:r>
              <w:rPr>
                <w:rFonts w:hint="eastAsia" w:ascii="宋体" w:hAnsi="宋体" w:cs="宋体"/>
                <w:kern w:val="0"/>
                <w:sz w:val="24"/>
              </w:rPr>
              <w:t>税款所属期间：    年  月  日 至      年  月  日</w:t>
            </w:r>
          </w:p>
        </w:tc>
      </w:tr>
      <w:tr>
        <w:tblPrEx>
          <w:tblLayout w:type="fixed"/>
          <w:tblCellMar>
            <w:top w:w="0" w:type="dxa"/>
            <w:left w:w="108" w:type="dxa"/>
            <w:bottom w:w="0" w:type="dxa"/>
            <w:right w:w="108" w:type="dxa"/>
          </w:tblCellMar>
        </w:tblPrEx>
        <w:trPr>
          <w:trHeight w:val="680" w:hRule="atLeast"/>
          <w:jc w:val="center"/>
        </w:trPr>
        <w:tc>
          <w:tcPr>
            <w:tcW w:w="4111" w:type="dxa"/>
            <w:gridSpan w:val="4"/>
            <w:shd w:val="clear" w:color="auto" w:fill="auto"/>
            <w:vAlign w:val="center"/>
          </w:tcPr>
          <w:p>
            <w:pPr>
              <w:widowControl/>
              <w:ind w:left="1000" w:leftChars="476"/>
              <w:rPr>
                <w:rFonts w:ascii="宋体" w:hAnsi="宋体" w:cs="宋体"/>
                <w:kern w:val="0"/>
                <w:sz w:val="24"/>
              </w:rPr>
            </w:pPr>
            <w:r>
              <w:rPr>
                <w:rFonts w:hint="eastAsia" w:ascii="宋体" w:hAnsi="宋体" w:cs="宋体"/>
                <w:kern w:val="0"/>
                <w:sz w:val="24"/>
              </w:rPr>
              <w:t>纳税人统一社会信用代码：</w:t>
            </w:r>
            <w:r>
              <w:rPr>
                <w:rFonts w:ascii="宋体" w:hAnsi="宋体" w:cs="宋体"/>
                <w:kern w:val="0"/>
                <w:sz w:val="24"/>
              </w:rPr>
              <w:t xml:space="preserve"> </w:t>
            </w:r>
          </w:p>
          <w:p>
            <w:pPr>
              <w:widowControl/>
              <w:ind w:left="1000" w:leftChars="476" w:firstLine="398" w:firstLineChars="166"/>
              <w:rPr>
                <w:rFonts w:ascii="宋体" w:hAnsi="宋体" w:cs="宋体"/>
                <w:kern w:val="0"/>
                <w:sz w:val="24"/>
              </w:rPr>
            </w:pPr>
            <w:r>
              <w:rPr>
                <w:rFonts w:hint="eastAsia" w:ascii="宋体" w:hAnsi="宋体" w:cs="宋体"/>
                <w:kern w:val="0"/>
                <w:sz w:val="24"/>
              </w:rPr>
              <w:t>（纳税人识别号）</w:t>
            </w:r>
          </w:p>
        </w:tc>
        <w:tc>
          <w:tcPr>
            <w:tcW w:w="5678" w:type="dxa"/>
            <w:gridSpan w:val="7"/>
            <w:shd w:val="clear" w:color="auto" w:fill="auto"/>
            <w:vAlign w:val="center"/>
          </w:tcPr>
          <w:p>
            <w:pPr>
              <w:widowControl/>
              <w:ind w:left="-105" w:leftChars="-50" w:right="-105" w:rightChars="-50"/>
              <w:rPr>
                <w:rFonts w:ascii="宋体" w:hAnsi="宋体" w:cs="宋体"/>
                <w:kern w:val="0"/>
                <w:sz w:val="28"/>
              </w:rPr>
            </w:pPr>
            <w:r>
              <w:rPr>
                <w:rFonts w:hint="eastAsia" w:ascii="宋体" w:hAnsi="宋体" w:cs="宋体"/>
                <w:kern w:val="0"/>
                <w:sz w:val="28"/>
              </w:rPr>
              <w:t>□□□□□□□□□□□□□□□□□□</w:t>
            </w:r>
          </w:p>
        </w:tc>
      </w:tr>
      <w:tr>
        <w:tblPrEx>
          <w:tblLayout w:type="fixed"/>
          <w:tblCellMar>
            <w:top w:w="0" w:type="dxa"/>
            <w:left w:w="108" w:type="dxa"/>
            <w:bottom w:w="0" w:type="dxa"/>
            <w:right w:w="108" w:type="dxa"/>
          </w:tblCellMar>
        </w:tblPrEx>
        <w:trPr>
          <w:trHeight w:val="680" w:hRule="atLeast"/>
          <w:jc w:val="center"/>
        </w:trPr>
        <w:tc>
          <w:tcPr>
            <w:tcW w:w="9789" w:type="dxa"/>
            <w:gridSpan w:val="11"/>
            <w:shd w:val="clear" w:color="auto" w:fill="auto"/>
            <w:vAlign w:val="center"/>
          </w:tcPr>
          <w:p>
            <w:pPr>
              <w:widowControl/>
              <w:ind w:left="1000" w:leftChars="476"/>
              <w:rPr>
                <w:rFonts w:ascii="宋体" w:hAnsi="宋体" w:cs="宋体"/>
                <w:kern w:val="0"/>
                <w:sz w:val="24"/>
              </w:rPr>
            </w:pPr>
            <w:r>
              <w:rPr>
                <w:rFonts w:hint="eastAsia" w:ascii="宋体" w:hAnsi="宋体" w:cs="宋体"/>
                <w:kern w:val="0"/>
                <w:sz w:val="24"/>
              </w:rPr>
              <w:t>纳税人名称：</w:t>
            </w:r>
          </w:p>
        </w:tc>
      </w:tr>
      <w:tr>
        <w:tblPrEx>
          <w:tblLayout w:type="fixed"/>
          <w:tblCellMar>
            <w:top w:w="0" w:type="dxa"/>
            <w:left w:w="108" w:type="dxa"/>
            <w:bottom w:w="0" w:type="dxa"/>
            <w:right w:w="108" w:type="dxa"/>
          </w:tblCellMar>
        </w:tblPrEx>
        <w:trPr>
          <w:trHeight w:val="680" w:hRule="atLeast"/>
          <w:jc w:val="center"/>
        </w:trPr>
        <w:tc>
          <w:tcPr>
            <w:tcW w:w="9789" w:type="dxa"/>
            <w:gridSpan w:val="11"/>
            <w:shd w:val="clear" w:color="auto" w:fill="auto"/>
            <w:vAlign w:val="center"/>
          </w:tcPr>
          <w:p>
            <w:pPr>
              <w:widowControl/>
              <w:ind w:left="1000" w:leftChars="476"/>
              <w:rPr>
                <w:rFonts w:ascii="宋体" w:hAnsi="宋体" w:cs="宋体"/>
                <w:kern w:val="0"/>
                <w:sz w:val="24"/>
              </w:rPr>
            </w:pPr>
            <w:r>
              <w:rPr>
                <w:rFonts w:hint="eastAsia" w:ascii="宋体" w:hAnsi="宋体" w:cs="宋体"/>
                <w:kern w:val="0"/>
                <w:sz w:val="24"/>
              </w:rPr>
              <w:t>金额单位：人民币元（列至角分）</w:t>
            </w:r>
          </w:p>
        </w:tc>
      </w:tr>
      <w:tr>
        <w:tblPrEx>
          <w:tblLayout w:type="fixed"/>
          <w:tblCellMar>
            <w:top w:w="0" w:type="dxa"/>
            <w:left w:w="108" w:type="dxa"/>
            <w:bottom w:w="0" w:type="dxa"/>
            <w:right w:w="108" w:type="dxa"/>
          </w:tblCellMar>
        </w:tblPrEx>
        <w:trPr>
          <w:trHeight w:val="375" w:hRule="atLeast"/>
          <w:jc w:val="center"/>
        </w:trPr>
        <w:tc>
          <w:tcPr>
            <w:tcW w:w="9789" w:type="dxa"/>
            <w:gridSpan w:val="11"/>
            <w:shd w:val="clear" w:color="auto" w:fill="auto"/>
            <w:vAlign w:val="top"/>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624" w:hRule="atLeast"/>
          <w:jc w:val="center"/>
        </w:trPr>
        <w:tc>
          <w:tcPr>
            <w:tcW w:w="9789" w:type="dxa"/>
            <w:gridSpan w:val="11"/>
            <w:vMerge w:val="restart"/>
            <w:shd w:val="clear" w:color="auto" w:fill="auto"/>
            <w:vAlign w:val="center"/>
          </w:tcPr>
          <w:p>
            <w:pPr>
              <w:widowControl/>
              <w:ind w:left="420" w:leftChars="200" w:right="420" w:rightChars="200" w:firstLine="562" w:firstLineChars="200"/>
              <w:jc w:val="left"/>
              <w:rPr>
                <w:rFonts w:ascii="宋体" w:hAnsi="宋体" w:cs="宋体"/>
                <w:b/>
                <w:bCs/>
                <w:kern w:val="0"/>
                <w:sz w:val="28"/>
                <w:szCs w:val="28"/>
              </w:rPr>
            </w:pPr>
            <w:r>
              <w:rPr>
                <w:rFonts w:hint="eastAsia" w:ascii="宋体" w:hAnsi="宋体" w:cs="宋体"/>
                <w:b/>
                <w:bCs/>
                <w:kern w:val="0"/>
                <w:sz w:val="28"/>
                <w:szCs w:val="28"/>
              </w:rPr>
              <w:t>谨声明：此纳税申报表是根据《中华人民共和国企业所得税法》《中华人民共和国企业所得税法实施条例》以及有关税收政策和国家统一会计制度的规定填报的，是真实的、可靠的、完整的。</w:t>
            </w:r>
          </w:p>
        </w:tc>
      </w:tr>
      <w:tr>
        <w:tblPrEx>
          <w:tblLayout w:type="fixed"/>
          <w:tblCellMar>
            <w:top w:w="0" w:type="dxa"/>
            <w:left w:w="108" w:type="dxa"/>
            <w:bottom w:w="0" w:type="dxa"/>
            <w:right w:w="108" w:type="dxa"/>
          </w:tblCellMar>
        </w:tblPrEx>
        <w:trPr>
          <w:trHeight w:val="624" w:hRule="atLeast"/>
          <w:jc w:val="center"/>
        </w:trPr>
        <w:tc>
          <w:tcPr>
            <w:tcW w:w="9789" w:type="dxa"/>
            <w:gridSpan w:val="11"/>
            <w:vMerge w:val="continue"/>
            <w:vAlign w:val="center"/>
          </w:tcPr>
          <w:p>
            <w:pPr>
              <w:widowControl/>
              <w:jc w:val="left"/>
              <w:rPr>
                <w:rFonts w:ascii="宋体" w:hAnsi="宋体" w:cs="宋体"/>
                <w:b/>
                <w:bCs/>
                <w:kern w:val="0"/>
                <w:sz w:val="28"/>
                <w:szCs w:val="28"/>
              </w:rPr>
            </w:pPr>
          </w:p>
        </w:tc>
      </w:tr>
      <w:tr>
        <w:tblPrEx>
          <w:tblLayout w:type="fixed"/>
          <w:tblCellMar>
            <w:top w:w="0" w:type="dxa"/>
            <w:left w:w="108" w:type="dxa"/>
            <w:bottom w:w="0" w:type="dxa"/>
            <w:right w:w="108" w:type="dxa"/>
          </w:tblCellMar>
        </w:tblPrEx>
        <w:trPr>
          <w:trHeight w:val="720" w:hRule="atLeast"/>
          <w:jc w:val="center"/>
        </w:trPr>
        <w:tc>
          <w:tcPr>
            <w:tcW w:w="9789" w:type="dxa"/>
            <w:gridSpan w:val="11"/>
            <w:vMerge w:val="continue"/>
            <w:vAlign w:val="center"/>
          </w:tcPr>
          <w:p>
            <w:pPr>
              <w:widowControl/>
              <w:jc w:val="left"/>
              <w:rPr>
                <w:rFonts w:ascii="宋体" w:hAnsi="宋体" w:cs="宋体"/>
                <w:b/>
                <w:bCs/>
                <w:kern w:val="0"/>
                <w:sz w:val="28"/>
                <w:szCs w:val="28"/>
              </w:rPr>
            </w:pPr>
          </w:p>
        </w:tc>
      </w:tr>
      <w:tr>
        <w:tblPrEx>
          <w:tblLayout w:type="fixed"/>
          <w:tblCellMar>
            <w:top w:w="0" w:type="dxa"/>
            <w:left w:w="108" w:type="dxa"/>
            <w:bottom w:w="0" w:type="dxa"/>
            <w:right w:w="108" w:type="dxa"/>
          </w:tblCellMar>
        </w:tblPrEx>
        <w:trPr>
          <w:gridAfter w:val="1"/>
          <w:wAfter w:w="46" w:type="dxa"/>
          <w:trHeight w:val="375" w:hRule="atLeast"/>
          <w:jc w:val="center"/>
        </w:trPr>
        <w:tc>
          <w:tcPr>
            <w:tcW w:w="1080" w:type="dxa"/>
            <w:shd w:val="clear" w:color="auto" w:fill="auto"/>
            <w:vAlign w:val="center"/>
          </w:tcPr>
          <w:p>
            <w:pPr>
              <w:widowControl/>
              <w:jc w:val="left"/>
              <w:rPr>
                <w:rFonts w:ascii="宋体" w:hAnsi="宋体" w:cs="宋体"/>
                <w:b/>
                <w:bCs/>
                <w:kern w:val="0"/>
                <w:sz w:val="28"/>
                <w:szCs w:val="28"/>
              </w:rPr>
            </w:pPr>
          </w:p>
        </w:tc>
        <w:tc>
          <w:tcPr>
            <w:tcW w:w="1079" w:type="dxa"/>
            <w:shd w:val="clear" w:color="auto" w:fill="auto"/>
            <w:vAlign w:val="center"/>
          </w:tcPr>
          <w:p>
            <w:pPr>
              <w:widowControl/>
              <w:jc w:val="left"/>
              <w:rPr>
                <w:rFonts w:eastAsia="Times New Roman"/>
                <w:kern w:val="0"/>
                <w:sz w:val="20"/>
                <w:szCs w:val="20"/>
              </w:rPr>
            </w:pPr>
          </w:p>
        </w:tc>
        <w:tc>
          <w:tcPr>
            <w:tcW w:w="960" w:type="dxa"/>
            <w:shd w:val="clear" w:color="auto" w:fill="auto"/>
            <w:vAlign w:val="center"/>
          </w:tcPr>
          <w:p>
            <w:pPr>
              <w:widowControl/>
              <w:jc w:val="left"/>
              <w:rPr>
                <w:rFonts w:eastAsia="Times New Roman"/>
                <w:kern w:val="0"/>
                <w:sz w:val="20"/>
                <w:szCs w:val="20"/>
              </w:rPr>
            </w:pPr>
          </w:p>
        </w:tc>
        <w:tc>
          <w:tcPr>
            <w:tcW w:w="1080" w:type="dxa"/>
            <w:gridSpan w:val="2"/>
            <w:shd w:val="clear" w:color="auto" w:fill="auto"/>
            <w:vAlign w:val="center"/>
          </w:tcPr>
          <w:p>
            <w:pPr>
              <w:widowControl/>
              <w:jc w:val="left"/>
              <w:rPr>
                <w:rFonts w:eastAsia="Times New Roman"/>
                <w:kern w:val="0"/>
                <w:sz w:val="20"/>
                <w:szCs w:val="20"/>
              </w:rPr>
            </w:pPr>
          </w:p>
        </w:tc>
        <w:tc>
          <w:tcPr>
            <w:tcW w:w="1080" w:type="dxa"/>
            <w:shd w:val="clear" w:color="auto" w:fill="auto"/>
            <w:vAlign w:val="center"/>
          </w:tcPr>
          <w:p>
            <w:pPr>
              <w:widowControl/>
              <w:jc w:val="left"/>
              <w:rPr>
                <w:rFonts w:eastAsia="Times New Roman"/>
                <w:kern w:val="0"/>
                <w:sz w:val="20"/>
                <w:szCs w:val="20"/>
              </w:rPr>
            </w:pPr>
          </w:p>
        </w:tc>
        <w:tc>
          <w:tcPr>
            <w:tcW w:w="1314" w:type="dxa"/>
            <w:shd w:val="clear" w:color="auto" w:fill="auto"/>
            <w:vAlign w:val="center"/>
          </w:tcPr>
          <w:p>
            <w:pPr>
              <w:widowControl/>
              <w:jc w:val="left"/>
              <w:rPr>
                <w:rFonts w:eastAsia="Times New Roman"/>
                <w:kern w:val="0"/>
                <w:sz w:val="20"/>
                <w:szCs w:val="20"/>
              </w:rPr>
            </w:pPr>
          </w:p>
        </w:tc>
        <w:tc>
          <w:tcPr>
            <w:tcW w:w="1084" w:type="dxa"/>
            <w:shd w:val="clear" w:color="auto" w:fill="auto"/>
            <w:vAlign w:val="center"/>
          </w:tcPr>
          <w:p>
            <w:pPr>
              <w:widowControl/>
              <w:jc w:val="left"/>
              <w:rPr>
                <w:rFonts w:eastAsia="Times New Roman"/>
                <w:kern w:val="0"/>
                <w:sz w:val="20"/>
                <w:szCs w:val="20"/>
              </w:rPr>
            </w:pPr>
          </w:p>
        </w:tc>
        <w:tc>
          <w:tcPr>
            <w:tcW w:w="1082" w:type="dxa"/>
            <w:shd w:val="clear" w:color="auto" w:fill="auto"/>
            <w:vAlign w:val="center"/>
          </w:tcPr>
          <w:p>
            <w:pPr>
              <w:widowControl/>
              <w:jc w:val="left"/>
              <w:rPr>
                <w:rFonts w:eastAsia="Times New Roman"/>
                <w:kern w:val="0"/>
                <w:sz w:val="20"/>
                <w:szCs w:val="20"/>
              </w:rPr>
            </w:pPr>
          </w:p>
        </w:tc>
        <w:tc>
          <w:tcPr>
            <w:tcW w:w="984" w:type="dxa"/>
            <w:shd w:val="clear" w:color="auto" w:fill="auto"/>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trHeight w:val="285" w:hRule="atLeast"/>
          <w:jc w:val="center"/>
        </w:trPr>
        <w:tc>
          <w:tcPr>
            <w:tcW w:w="9789" w:type="dxa"/>
            <w:gridSpan w:val="11"/>
            <w:shd w:val="clear" w:color="auto" w:fill="auto"/>
            <w:vAlign w:val="top"/>
          </w:tcPr>
          <w:p>
            <w:pPr>
              <w:widowControl/>
              <w:ind w:right="781" w:rightChars="372"/>
              <w:jc w:val="right"/>
              <w:rPr>
                <w:rFonts w:ascii="宋体" w:hAnsi="宋体" w:cs="宋体"/>
                <w:kern w:val="0"/>
                <w:sz w:val="24"/>
              </w:rPr>
            </w:pPr>
            <w:r>
              <w:rPr>
                <w:rFonts w:hint="eastAsia" w:ascii="宋体" w:hAnsi="宋体" w:cs="宋体"/>
                <w:kern w:val="0"/>
                <w:sz w:val="24"/>
              </w:rPr>
              <w:t xml:space="preserve">法定代表人（签章）:                   年  月  日   </w:t>
            </w:r>
          </w:p>
        </w:tc>
      </w:tr>
      <w:tr>
        <w:tblPrEx>
          <w:tblLayout w:type="fixed"/>
          <w:tblCellMar>
            <w:top w:w="0" w:type="dxa"/>
            <w:left w:w="108" w:type="dxa"/>
            <w:bottom w:w="0" w:type="dxa"/>
            <w:right w:w="108" w:type="dxa"/>
          </w:tblCellMar>
        </w:tblPrEx>
        <w:trPr>
          <w:trHeight w:val="285" w:hRule="atLeast"/>
          <w:jc w:val="center"/>
        </w:trPr>
        <w:tc>
          <w:tcPr>
            <w:tcW w:w="9789" w:type="dxa"/>
            <w:gridSpan w:val="11"/>
            <w:shd w:val="clear" w:color="auto" w:fill="auto"/>
            <w:vAlign w:val="top"/>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jc w:val="center"/>
        </w:trPr>
        <w:tc>
          <w:tcPr>
            <w:tcW w:w="9789" w:type="dxa"/>
            <w:gridSpan w:val="11"/>
            <w:shd w:val="clear" w:color="auto" w:fill="auto"/>
            <w:vAlign w:val="top"/>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jc w:val="center"/>
        </w:trPr>
        <w:tc>
          <w:tcPr>
            <w:tcW w:w="9789" w:type="dxa"/>
            <w:gridSpan w:val="11"/>
            <w:shd w:val="clear" w:color="auto" w:fill="auto"/>
            <w:vAlign w:val="top"/>
          </w:tcPr>
          <w:p>
            <w:pPr>
              <w:widowControl/>
              <w:jc w:val="right"/>
              <w:rPr>
                <w:rFonts w:ascii="宋体" w:hAnsi="宋体" w:cs="宋体"/>
                <w:kern w:val="0"/>
                <w:sz w:val="24"/>
              </w:rPr>
            </w:pPr>
          </w:p>
        </w:tc>
      </w:tr>
      <w:tr>
        <w:tblPrEx>
          <w:tblLayout w:type="fixed"/>
          <w:tblCellMar>
            <w:top w:w="0" w:type="dxa"/>
            <w:left w:w="108" w:type="dxa"/>
            <w:bottom w:w="0" w:type="dxa"/>
            <w:right w:w="108" w:type="dxa"/>
          </w:tblCellMar>
        </w:tblPrEx>
        <w:trPr>
          <w:gridAfter w:val="1"/>
          <w:wAfter w:w="46" w:type="dxa"/>
          <w:trHeight w:val="312" w:hRule="atLeast"/>
          <w:jc w:val="center"/>
        </w:trPr>
        <w:tc>
          <w:tcPr>
            <w:tcW w:w="3119" w:type="dxa"/>
            <w:gridSpan w:val="3"/>
            <w:vMerge w:val="restart"/>
            <w:tcBorders>
              <w:top w:val="single" w:color="auto" w:sz="8" w:space="0"/>
              <w:left w:val="single" w:color="auto" w:sz="8" w:space="0"/>
              <w:right w:val="single" w:color="auto" w:sz="8" w:space="0"/>
            </w:tcBorders>
            <w:shd w:val="clear" w:color="auto" w:fill="auto"/>
            <w:vAlign w:val="top"/>
          </w:tcPr>
          <w:p>
            <w:pPr>
              <w:widowControl/>
              <w:jc w:val="left"/>
              <w:rPr>
                <w:rFonts w:ascii="宋体" w:hAnsi="宋体" w:cs="宋体"/>
                <w:kern w:val="0"/>
                <w:sz w:val="24"/>
              </w:rPr>
            </w:pPr>
            <w:r>
              <w:rPr>
                <w:rFonts w:hint="eastAsia" w:ascii="宋体" w:hAnsi="宋体" w:cs="宋体"/>
                <w:kern w:val="0"/>
                <w:sz w:val="24"/>
              </w:rPr>
              <w:t>纳税人公章：</w:t>
            </w:r>
          </w:p>
        </w:tc>
        <w:tc>
          <w:tcPr>
            <w:tcW w:w="3474" w:type="dxa"/>
            <w:gridSpan w:val="4"/>
            <w:vMerge w:val="restart"/>
            <w:tcBorders>
              <w:top w:val="single" w:color="auto" w:sz="8" w:space="0"/>
              <w:left w:val="single" w:color="auto" w:sz="8" w:space="0"/>
              <w:right w:val="single" w:color="auto" w:sz="8" w:space="0"/>
            </w:tcBorders>
            <w:shd w:val="clear" w:color="auto" w:fill="auto"/>
            <w:vAlign w:val="top"/>
          </w:tcPr>
          <w:p>
            <w:pPr>
              <w:widowControl/>
              <w:jc w:val="left"/>
              <w:rPr>
                <w:rFonts w:ascii="宋体" w:hAnsi="宋体" w:cs="宋体"/>
                <w:kern w:val="0"/>
                <w:sz w:val="24"/>
              </w:rPr>
            </w:pPr>
            <w:r>
              <w:rPr>
                <w:rFonts w:hint="eastAsia" w:ascii="宋体" w:hAnsi="宋体" w:cs="宋体"/>
                <w:kern w:val="0"/>
                <w:sz w:val="24"/>
              </w:rPr>
              <w:t>代理申报中介机构公章：</w:t>
            </w:r>
          </w:p>
        </w:tc>
        <w:tc>
          <w:tcPr>
            <w:tcW w:w="3150" w:type="dxa"/>
            <w:gridSpan w:val="3"/>
            <w:vMerge w:val="restart"/>
            <w:tcBorders>
              <w:top w:val="single" w:color="auto" w:sz="8" w:space="0"/>
              <w:left w:val="single" w:color="auto" w:sz="8" w:space="0"/>
              <w:right w:val="single" w:color="auto" w:sz="8" w:space="0"/>
            </w:tcBorders>
            <w:shd w:val="clear" w:color="auto" w:fill="auto"/>
            <w:vAlign w:val="top"/>
          </w:tcPr>
          <w:p>
            <w:pPr>
              <w:widowControl/>
              <w:jc w:val="left"/>
              <w:rPr>
                <w:rFonts w:ascii="宋体" w:hAnsi="宋体" w:cs="宋体"/>
                <w:kern w:val="0"/>
                <w:sz w:val="24"/>
              </w:rPr>
            </w:pPr>
            <w:r>
              <w:rPr>
                <w:rFonts w:hint="eastAsia" w:ascii="宋体" w:hAnsi="宋体" w:cs="宋体"/>
                <w:kern w:val="0"/>
                <w:sz w:val="24"/>
              </w:rPr>
              <w:t>主管税务机关受理专用章：</w:t>
            </w:r>
          </w:p>
        </w:tc>
      </w:tr>
      <w:tr>
        <w:tblPrEx>
          <w:tblLayout w:type="fixed"/>
          <w:tblCellMar>
            <w:top w:w="0" w:type="dxa"/>
            <w:left w:w="108" w:type="dxa"/>
            <w:bottom w:w="0" w:type="dxa"/>
            <w:right w:w="108" w:type="dxa"/>
          </w:tblCellMar>
        </w:tblPrEx>
        <w:trPr>
          <w:gridAfter w:val="1"/>
          <w:wAfter w:w="46" w:type="dxa"/>
          <w:trHeight w:val="312" w:hRule="atLeast"/>
          <w:jc w:val="center"/>
        </w:trPr>
        <w:tc>
          <w:tcPr>
            <w:tcW w:w="3119" w:type="dxa"/>
            <w:gridSpan w:val="3"/>
            <w:vMerge w:val="continue"/>
            <w:tcBorders>
              <w:left w:val="single" w:color="auto" w:sz="8" w:space="0"/>
              <w:right w:val="single" w:color="auto" w:sz="8" w:space="0"/>
            </w:tcBorders>
            <w:vAlign w:val="center"/>
          </w:tcPr>
          <w:p>
            <w:pPr>
              <w:widowControl/>
              <w:jc w:val="left"/>
              <w:rPr>
                <w:rFonts w:ascii="宋体" w:hAnsi="宋体" w:cs="宋体"/>
                <w:kern w:val="0"/>
                <w:sz w:val="24"/>
              </w:rPr>
            </w:pPr>
          </w:p>
        </w:tc>
        <w:tc>
          <w:tcPr>
            <w:tcW w:w="3474" w:type="dxa"/>
            <w:gridSpan w:val="4"/>
            <w:vMerge w:val="continue"/>
            <w:tcBorders>
              <w:left w:val="single" w:color="auto" w:sz="8" w:space="0"/>
              <w:right w:val="single" w:color="auto" w:sz="8" w:space="0"/>
            </w:tcBorders>
            <w:vAlign w:val="center"/>
          </w:tcPr>
          <w:p>
            <w:pPr>
              <w:widowControl/>
              <w:jc w:val="left"/>
              <w:rPr>
                <w:rFonts w:ascii="宋体" w:hAnsi="宋体" w:cs="宋体"/>
                <w:kern w:val="0"/>
                <w:sz w:val="24"/>
              </w:rPr>
            </w:pPr>
          </w:p>
        </w:tc>
        <w:tc>
          <w:tcPr>
            <w:tcW w:w="3150" w:type="dxa"/>
            <w:gridSpan w:val="3"/>
            <w:vMerge w:val="continue"/>
            <w:tcBorders>
              <w:left w:val="single" w:color="auto" w:sz="8"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gridAfter w:val="1"/>
          <w:wAfter w:w="46" w:type="dxa"/>
          <w:trHeight w:val="312" w:hRule="atLeast"/>
          <w:jc w:val="center"/>
        </w:trPr>
        <w:tc>
          <w:tcPr>
            <w:tcW w:w="3119" w:type="dxa"/>
            <w:gridSpan w:val="3"/>
            <w:vMerge w:val="continue"/>
            <w:tcBorders>
              <w:left w:val="single" w:color="auto" w:sz="8" w:space="0"/>
              <w:right w:val="single" w:color="auto" w:sz="8" w:space="0"/>
            </w:tcBorders>
            <w:vAlign w:val="center"/>
          </w:tcPr>
          <w:p>
            <w:pPr>
              <w:widowControl/>
              <w:jc w:val="left"/>
              <w:rPr>
                <w:rFonts w:ascii="宋体" w:hAnsi="宋体" w:cs="宋体"/>
                <w:kern w:val="0"/>
                <w:sz w:val="24"/>
              </w:rPr>
            </w:pPr>
          </w:p>
        </w:tc>
        <w:tc>
          <w:tcPr>
            <w:tcW w:w="3474" w:type="dxa"/>
            <w:gridSpan w:val="4"/>
            <w:vMerge w:val="continue"/>
            <w:tcBorders>
              <w:left w:val="single" w:color="auto" w:sz="8" w:space="0"/>
              <w:right w:val="single" w:color="auto" w:sz="8" w:space="0"/>
            </w:tcBorders>
            <w:vAlign w:val="center"/>
          </w:tcPr>
          <w:p>
            <w:pPr>
              <w:widowControl/>
              <w:jc w:val="left"/>
              <w:rPr>
                <w:rFonts w:ascii="宋体" w:hAnsi="宋体" w:cs="宋体"/>
                <w:kern w:val="0"/>
                <w:sz w:val="24"/>
              </w:rPr>
            </w:pPr>
          </w:p>
        </w:tc>
        <w:tc>
          <w:tcPr>
            <w:tcW w:w="3150" w:type="dxa"/>
            <w:gridSpan w:val="3"/>
            <w:vMerge w:val="continue"/>
            <w:tcBorders>
              <w:left w:val="single" w:color="auto" w:sz="8"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gridAfter w:val="1"/>
          <w:wAfter w:w="46" w:type="dxa"/>
          <w:trHeight w:val="312" w:hRule="atLeast"/>
          <w:jc w:val="center"/>
        </w:trPr>
        <w:tc>
          <w:tcPr>
            <w:tcW w:w="3119" w:type="dxa"/>
            <w:gridSpan w:val="3"/>
            <w:vMerge w:val="continue"/>
            <w:tcBorders>
              <w:left w:val="single" w:color="auto" w:sz="8" w:space="0"/>
              <w:right w:val="single" w:color="auto" w:sz="8" w:space="0"/>
            </w:tcBorders>
            <w:vAlign w:val="center"/>
          </w:tcPr>
          <w:p>
            <w:pPr>
              <w:widowControl/>
              <w:jc w:val="left"/>
              <w:rPr>
                <w:rFonts w:ascii="宋体" w:hAnsi="宋体" w:cs="宋体"/>
                <w:kern w:val="0"/>
                <w:sz w:val="24"/>
              </w:rPr>
            </w:pPr>
          </w:p>
        </w:tc>
        <w:tc>
          <w:tcPr>
            <w:tcW w:w="3474" w:type="dxa"/>
            <w:gridSpan w:val="4"/>
            <w:vMerge w:val="continue"/>
            <w:tcBorders>
              <w:left w:val="single" w:color="auto" w:sz="8" w:space="0"/>
              <w:right w:val="single" w:color="auto" w:sz="8" w:space="0"/>
            </w:tcBorders>
            <w:vAlign w:val="center"/>
          </w:tcPr>
          <w:p>
            <w:pPr>
              <w:widowControl/>
              <w:jc w:val="left"/>
              <w:rPr>
                <w:rFonts w:ascii="宋体" w:hAnsi="宋体" w:cs="宋体"/>
                <w:kern w:val="0"/>
                <w:sz w:val="24"/>
              </w:rPr>
            </w:pPr>
          </w:p>
        </w:tc>
        <w:tc>
          <w:tcPr>
            <w:tcW w:w="3150" w:type="dxa"/>
            <w:gridSpan w:val="3"/>
            <w:vMerge w:val="continue"/>
            <w:tcBorders>
              <w:left w:val="single" w:color="auto" w:sz="8"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gridAfter w:val="1"/>
          <w:wAfter w:w="46" w:type="dxa"/>
          <w:trHeight w:val="312" w:hRule="atLeast"/>
          <w:jc w:val="center"/>
        </w:trPr>
        <w:tc>
          <w:tcPr>
            <w:tcW w:w="3119" w:type="dxa"/>
            <w:gridSpan w:val="3"/>
            <w:vMerge w:val="continue"/>
            <w:tcBorders>
              <w:left w:val="single" w:color="auto" w:sz="8" w:space="0"/>
              <w:right w:val="single" w:color="auto" w:sz="8" w:space="0"/>
            </w:tcBorders>
            <w:vAlign w:val="center"/>
          </w:tcPr>
          <w:p>
            <w:pPr>
              <w:widowControl/>
              <w:jc w:val="left"/>
              <w:rPr>
                <w:rFonts w:ascii="宋体" w:hAnsi="宋体" w:cs="宋体"/>
                <w:kern w:val="0"/>
                <w:sz w:val="24"/>
              </w:rPr>
            </w:pPr>
          </w:p>
        </w:tc>
        <w:tc>
          <w:tcPr>
            <w:tcW w:w="3474" w:type="dxa"/>
            <w:gridSpan w:val="4"/>
            <w:vMerge w:val="continue"/>
            <w:tcBorders>
              <w:left w:val="single" w:color="auto" w:sz="8" w:space="0"/>
              <w:right w:val="single" w:color="auto" w:sz="8" w:space="0"/>
            </w:tcBorders>
            <w:vAlign w:val="center"/>
          </w:tcPr>
          <w:p>
            <w:pPr>
              <w:widowControl/>
              <w:jc w:val="left"/>
              <w:rPr>
                <w:rFonts w:ascii="宋体" w:hAnsi="宋体" w:cs="宋体"/>
                <w:kern w:val="0"/>
                <w:sz w:val="24"/>
              </w:rPr>
            </w:pPr>
          </w:p>
        </w:tc>
        <w:tc>
          <w:tcPr>
            <w:tcW w:w="3150" w:type="dxa"/>
            <w:gridSpan w:val="3"/>
            <w:vMerge w:val="continue"/>
            <w:tcBorders>
              <w:left w:val="single" w:color="auto" w:sz="8" w:space="0"/>
              <w:right w:val="single" w:color="auto" w:sz="8"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gridAfter w:val="1"/>
          <w:wAfter w:w="46" w:type="dxa"/>
          <w:trHeight w:val="285" w:hRule="atLeast"/>
          <w:jc w:val="center"/>
        </w:trPr>
        <w:tc>
          <w:tcPr>
            <w:tcW w:w="3119" w:type="dxa"/>
            <w:gridSpan w:val="3"/>
            <w:tcBorders>
              <w:left w:val="single" w:color="auto" w:sz="8" w:space="0"/>
              <w:right w:val="single" w:color="auto" w:sz="8" w:space="0"/>
            </w:tcBorders>
            <w:shd w:val="clear" w:color="auto" w:fill="auto"/>
            <w:vAlign w:val="top"/>
          </w:tcPr>
          <w:p>
            <w:pPr>
              <w:widowControl/>
              <w:jc w:val="left"/>
              <w:rPr>
                <w:rFonts w:ascii="宋体" w:hAnsi="宋体" w:cs="宋体"/>
                <w:kern w:val="0"/>
                <w:sz w:val="24"/>
              </w:rPr>
            </w:pPr>
            <w:r>
              <w:rPr>
                <w:rFonts w:hint="eastAsia" w:ascii="宋体" w:hAnsi="宋体" w:cs="宋体"/>
                <w:kern w:val="0"/>
                <w:sz w:val="24"/>
              </w:rPr>
              <w:t xml:space="preserve">会计主管：    </w:t>
            </w:r>
          </w:p>
        </w:tc>
        <w:tc>
          <w:tcPr>
            <w:tcW w:w="3474" w:type="dxa"/>
            <w:gridSpan w:val="4"/>
            <w:tcBorders>
              <w:left w:val="single" w:color="auto" w:sz="8" w:space="0"/>
              <w:right w:val="single" w:color="auto" w:sz="8" w:space="0"/>
            </w:tcBorders>
            <w:shd w:val="clear" w:color="auto" w:fill="auto"/>
            <w:vAlign w:val="top"/>
          </w:tcPr>
          <w:p>
            <w:pPr>
              <w:widowControl/>
              <w:jc w:val="left"/>
              <w:rPr>
                <w:rFonts w:ascii="宋体" w:hAnsi="宋体" w:cs="宋体"/>
                <w:kern w:val="0"/>
                <w:sz w:val="24"/>
              </w:rPr>
            </w:pPr>
            <w:r>
              <w:rPr>
                <w:rFonts w:hint="eastAsia" w:ascii="宋体" w:hAnsi="宋体" w:cs="宋体"/>
                <w:kern w:val="0"/>
                <w:sz w:val="24"/>
              </w:rPr>
              <w:t>经办人：</w:t>
            </w:r>
          </w:p>
        </w:tc>
        <w:tc>
          <w:tcPr>
            <w:tcW w:w="3150" w:type="dxa"/>
            <w:gridSpan w:val="3"/>
            <w:tcBorders>
              <w:left w:val="single" w:color="auto" w:sz="8" w:space="0"/>
              <w:right w:val="single" w:color="auto" w:sz="8" w:space="0"/>
            </w:tcBorders>
            <w:shd w:val="clear" w:color="auto" w:fill="auto"/>
            <w:vAlign w:val="top"/>
          </w:tcPr>
          <w:p>
            <w:pPr>
              <w:widowControl/>
              <w:jc w:val="left"/>
              <w:rPr>
                <w:rFonts w:ascii="宋体" w:hAnsi="宋体" w:cs="宋体"/>
                <w:kern w:val="0"/>
                <w:sz w:val="24"/>
              </w:rPr>
            </w:pPr>
            <w:r>
              <w:rPr>
                <w:rFonts w:hint="eastAsia" w:ascii="宋体" w:hAnsi="宋体" w:cs="宋体"/>
                <w:kern w:val="0"/>
                <w:sz w:val="24"/>
              </w:rPr>
              <w:t>受理人：</w:t>
            </w:r>
          </w:p>
        </w:tc>
      </w:tr>
      <w:tr>
        <w:tblPrEx>
          <w:tblLayout w:type="fixed"/>
          <w:tblCellMar>
            <w:top w:w="0" w:type="dxa"/>
            <w:left w:w="108" w:type="dxa"/>
            <w:bottom w:w="0" w:type="dxa"/>
            <w:right w:w="108" w:type="dxa"/>
          </w:tblCellMar>
        </w:tblPrEx>
        <w:trPr>
          <w:gridAfter w:val="1"/>
          <w:wAfter w:w="46" w:type="dxa"/>
          <w:trHeight w:val="285" w:hRule="atLeast"/>
          <w:jc w:val="center"/>
        </w:trPr>
        <w:tc>
          <w:tcPr>
            <w:tcW w:w="1080" w:type="dxa"/>
            <w:tcBorders>
              <w:left w:val="single" w:color="auto" w:sz="8" w:space="0"/>
            </w:tcBorders>
            <w:shd w:val="clear" w:color="auto" w:fill="auto"/>
            <w:vAlign w:val="top"/>
          </w:tcPr>
          <w:p>
            <w:pPr>
              <w:widowControl/>
              <w:jc w:val="left"/>
              <w:rPr>
                <w:rFonts w:ascii="宋体" w:hAnsi="宋体" w:cs="宋体"/>
                <w:kern w:val="0"/>
                <w:sz w:val="24"/>
              </w:rPr>
            </w:pPr>
            <w:r>
              <w:rPr>
                <w:rFonts w:hint="eastAsia" w:ascii="宋体" w:hAnsi="宋体" w:cs="宋体"/>
                <w:kern w:val="0"/>
                <w:sz w:val="24"/>
              </w:rPr>
              <w:t>　</w:t>
            </w:r>
          </w:p>
        </w:tc>
        <w:tc>
          <w:tcPr>
            <w:tcW w:w="1079" w:type="dxa"/>
            <w:shd w:val="clear" w:color="auto" w:fill="auto"/>
            <w:vAlign w:val="top"/>
          </w:tcPr>
          <w:p>
            <w:pPr>
              <w:widowControl/>
              <w:jc w:val="left"/>
              <w:rPr>
                <w:rFonts w:ascii="宋体" w:hAnsi="宋体" w:cs="宋体"/>
                <w:kern w:val="0"/>
                <w:sz w:val="24"/>
              </w:rPr>
            </w:pPr>
          </w:p>
        </w:tc>
        <w:tc>
          <w:tcPr>
            <w:tcW w:w="960" w:type="dxa"/>
            <w:tcBorders>
              <w:right w:val="single" w:color="auto" w:sz="8" w:space="0"/>
            </w:tcBorders>
            <w:shd w:val="clear" w:color="auto" w:fill="auto"/>
            <w:vAlign w:val="top"/>
          </w:tcPr>
          <w:p>
            <w:pPr>
              <w:widowControl/>
              <w:jc w:val="left"/>
              <w:rPr>
                <w:rFonts w:ascii="宋体" w:hAnsi="宋体" w:cs="宋体"/>
                <w:kern w:val="0"/>
                <w:sz w:val="24"/>
              </w:rPr>
            </w:pPr>
            <w:r>
              <w:rPr>
                <w:rFonts w:hint="eastAsia" w:ascii="宋体" w:hAnsi="宋体" w:cs="宋体"/>
                <w:kern w:val="0"/>
                <w:sz w:val="24"/>
              </w:rPr>
              <w:t>　</w:t>
            </w:r>
          </w:p>
        </w:tc>
        <w:tc>
          <w:tcPr>
            <w:tcW w:w="3474" w:type="dxa"/>
            <w:gridSpan w:val="4"/>
            <w:tcBorders>
              <w:left w:val="single" w:color="auto" w:sz="8" w:space="0"/>
              <w:right w:val="single" w:color="auto" w:sz="8" w:space="0"/>
            </w:tcBorders>
            <w:shd w:val="clear" w:color="auto" w:fill="auto"/>
            <w:vAlign w:val="top"/>
          </w:tcPr>
          <w:p>
            <w:pPr>
              <w:widowControl/>
              <w:jc w:val="left"/>
              <w:rPr>
                <w:rFonts w:ascii="宋体" w:hAnsi="宋体" w:cs="宋体"/>
                <w:kern w:val="0"/>
                <w:sz w:val="24"/>
              </w:rPr>
            </w:pPr>
            <w:r>
              <w:rPr>
                <w:rFonts w:hint="eastAsia" w:ascii="宋体" w:hAnsi="宋体" w:cs="宋体"/>
                <w:kern w:val="0"/>
                <w:sz w:val="24"/>
              </w:rPr>
              <w:t>经办人执业证件号码：</w:t>
            </w:r>
          </w:p>
        </w:tc>
        <w:tc>
          <w:tcPr>
            <w:tcW w:w="1084" w:type="dxa"/>
            <w:tcBorders>
              <w:left w:val="single" w:color="auto" w:sz="8" w:space="0"/>
            </w:tcBorders>
            <w:shd w:val="clear" w:color="auto" w:fill="auto"/>
            <w:vAlign w:val="top"/>
          </w:tcPr>
          <w:p>
            <w:pPr>
              <w:widowControl/>
              <w:jc w:val="left"/>
              <w:rPr>
                <w:rFonts w:ascii="宋体" w:hAnsi="宋体" w:cs="宋体"/>
                <w:kern w:val="0"/>
                <w:sz w:val="24"/>
              </w:rPr>
            </w:pPr>
          </w:p>
        </w:tc>
        <w:tc>
          <w:tcPr>
            <w:tcW w:w="1082" w:type="dxa"/>
            <w:shd w:val="clear" w:color="auto" w:fill="auto"/>
            <w:vAlign w:val="top"/>
          </w:tcPr>
          <w:p>
            <w:pPr>
              <w:widowControl/>
              <w:jc w:val="left"/>
              <w:rPr>
                <w:rFonts w:eastAsia="Times New Roman"/>
                <w:kern w:val="0"/>
                <w:sz w:val="20"/>
                <w:szCs w:val="20"/>
              </w:rPr>
            </w:pPr>
          </w:p>
        </w:tc>
        <w:tc>
          <w:tcPr>
            <w:tcW w:w="984" w:type="dxa"/>
            <w:tcBorders>
              <w:right w:val="single" w:color="auto" w:sz="8" w:space="0"/>
            </w:tcBorders>
            <w:shd w:val="clear" w:color="auto" w:fill="auto"/>
            <w:vAlign w:val="top"/>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46" w:type="dxa"/>
          <w:trHeight w:val="285" w:hRule="atLeast"/>
          <w:jc w:val="center"/>
        </w:trPr>
        <w:tc>
          <w:tcPr>
            <w:tcW w:w="3119" w:type="dxa"/>
            <w:gridSpan w:val="3"/>
            <w:tcBorders>
              <w:left w:val="single" w:color="auto" w:sz="8" w:space="0"/>
              <w:right w:val="single" w:color="auto" w:sz="8" w:space="0"/>
            </w:tcBorders>
            <w:shd w:val="clear" w:color="auto" w:fill="auto"/>
            <w:vAlign w:val="top"/>
          </w:tcPr>
          <w:p>
            <w:pPr>
              <w:widowControl/>
              <w:jc w:val="left"/>
              <w:rPr>
                <w:rFonts w:ascii="宋体" w:hAnsi="宋体" w:cs="宋体"/>
                <w:kern w:val="0"/>
                <w:sz w:val="24"/>
              </w:rPr>
            </w:pPr>
            <w:r>
              <w:rPr>
                <w:rFonts w:hint="eastAsia" w:ascii="宋体" w:hAnsi="宋体" w:cs="宋体"/>
                <w:kern w:val="0"/>
                <w:sz w:val="24"/>
              </w:rPr>
              <w:t>　</w:t>
            </w:r>
          </w:p>
        </w:tc>
        <w:tc>
          <w:tcPr>
            <w:tcW w:w="1080" w:type="dxa"/>
            <w:gridSpan w:val="2"/>
            <w:tcBorders>
              <w:left w:val="single" w:color="auto" w:sz="8" w:space="0"/>
            </w:tcBorders>
            <w:shd w:val="clear" w:color="auto" w:fill="auto"/>
            <w:vAlign w:val="center"/>
          </w:tcPr>
          <w:p>
            <w:pPr>
              <w:widowControl/>
              <w:jc w:val="left"/>
              <w:rPr>
                <w:rFonts w:ascii="宋体" w:hAnsi="宋体" w:cs="宋体"/>
                <w:kern w:val="0"/>
                <w:sz w:val="24"/>
              </w:rPr>
            </w:pPr>
          </w:p>
        </w:tc>
        <w:tc>
          <w:tcPr>
            <w:tcW w:w="1080" w:type="dxa"/>
            <w:shd w:val="clear" w:color="auto" w:fill="auto"/>
            <w:vAlign w:val="center"/>
          </w:tcPr>
          <w:p>
            <w:pPr>
              <w:widowControl/>
              <w:jc w:val="left"/>
              <w:rPr>
                <w:rFonts w:eastAsia="Times New Roman"/>
                <w:kern w:val="0"/>
                <w:sz w:val="20"/>
                <w:szCs w:val="20"/>
              </w:rPr>
            </w:pPr>
          </w:p>
        </w:tc>
        <w:tc>
          <w:tcPr>
            <w:tcW w:w="1314" w:type="dxa"/>
            <w:tcBorders>
              <w:right w:val="single" w:color="auto" w:sz="8" w:space="0"/>
            </w:tcBorders>
            <w:shd w:val="clear" w:color="auto" w:fill="auto"/>
            <w:vAlign w:val="top"/>
          </w:tcPr>
          <w:p>
            <w:pPr>
              <w:widowControl/>
              <w:jc w:val="left"/>
              <w:rPr>
                <w:rFonts w:ascii="宋体" w:hAnsi="宋体" w:cs="宋体"/>
                <w:kern w:val="0"/>
                <w:sz w:val="24"/>
              </w:rPr>
            </w:pPr>
            <w:r>
              <w:rPr>
                <w:rFonts w:hint="eastAsia" w:ascii="宋体" w:hAnsi="宋体" w:cs="宋体"/>
                <w:kern w:val="0"/>
                <w:sz w:val="24"/>
              </w:rPr>
              <w:t>　</w:t>
            </w:r>
          </w:p>
        </w:tc>
        <w:tc>
          <w:tcPr>
            <w:tcW w:w="1084" w:type="dxa"/>
            <w:tcBorders>
              <w:left w:val="single" w:color="auto" w:sz="8" w:space="0"/>
            </w:tcBorders>
            <w:shd w:val="clear" w:color="auto" w:fill="auto"/>
            <w:vAlign w:val="center"/>
          </w:tcPr>
          <w:p>
            <w:pPr>
              <w:widowControl/>
              <w:jc w:val="left"/>
              <w:rPr>
                <w:rFonts w:ascii="宋体" w:hAnsi="宋体" w:cs="宋体"/>
                <w:kern w:val="0"/>
                <w:sz w:val="24"/>
              </w:rPr>
            </w:pPr>
          </w:p>
        </w:tc>
        <w:tc>
          <w:tcPr>
            <w:tcW w:w="1082" w:type="dxa"/>
            <w:shd w:val="clear" w:color="auto" w:fill="auto"/>
            <w:vAlign w:val="center"/>
          </w:tcPr>
          <w:p>
            <w:pPr>
              <w:widowControl/>
              <w:jc w:val="left"/>
              <w:rPr>
                <w:rFonts w:eastAsia="Times New Roman"/>
                <w:kern w:val="0"/>
                <w:sz w:val="20"/>
                <w:szCs w:val="20"/>
              </w:rPr>
            </w:pPr>
          </w:p>
        </w:tc>
        <w:tc>
          <w:tcPr>
            <w:tcW w:w="984" w:type="dxa"/>
            <w:tcBorders>
              <w:right w:val="single" w:color="auto" w:sz="8"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46" w:type="dxa"/>
          <w:trHeight w:val="285" w:hRule="atLeast"/>
          <w:jc w:val="center"/>
        </w:trPr>
        <w:tc>
          <w:tcPr>
            <w:tcW w:w="3119" w:type="dxa"/>
            <w:gridSpan w:val="3"/>
            <w:tcBorders>
              <w:left w:val="single" w:color="auto" w:sz="8" w:space="0"/>
              <w:bottom w:val="single" w:color="auto" w:sz="8" w:space="0"/>
              <w:right w:val="single" w:color="auto" w:sz="8" w:space="0"/>
            </w:tcBorders>
            <w:shd w:val="clear" w:color="auto" w:fill="auto"/>
            <w:vAlign w:val="top"/>
          </w:tcPr>
          <w:p>
            <w:pPr>
              <w:widowControl/>
              <w:jc w:val="left"/>
              <w:rPr>
                <w:rFonts w:ascii="宋体" w:hAnsi="宋体" w:cs="宋体"/>
                <w:kern w:val="0"/>
                <w:sz w:val="24"/>
              </w:rPr>
            </w:pPr>
            <w:r>
              <w:rPr>
                <w:rFonts w:hint="eastAsia" w:ascii="宋体" w:hAnsi="宋体" w:cs="宋体"/>
                <w:kern w:val="0"/>
                <w:sz w:val="24"/>
              </w:rPr>
              <w:t>填表日期：</w:t>
            </w:r>
            <w:r>
              <w:rPr>
                <w:rFonts w:ascii="宋体" w:hAnsi="宋体" w:cs="宋体"/>
                <w:kern w:val="0"/>
                <w:sz w:val="24"/>
              </w:rPr>
              <w:t xml:space="preserve">    </w:t>
            </w:r>
            <w:r>
              <w:rPr>
                <w:rFonts w:hint="eastAsia" w:ascii="宋体" w:hAnsi="宋体" w:cs="宋体"/>
                <w:kern w:val="0"/>
                <w:sz w:val="24"/>
              </w:rPr>
              <w:t>年  月  日</w:t>
            </w:r>
          </w:p>
        </w:tc>
        <w:tc>
          <w:tcPr>
            <w:tcW w:w="3474" w:type="dxa"/>
            <w:gridSpan w:val="4"/>
            <w:tcBorders>
              <w:left w:val="single" w:color="auto" w:sz="8" w:space="0"/>
              <w:bottom w:val="single" w:color="auto" w:sz="8" w:space="0"/>
              <w:right w:val="single" w:color="auto" w:sz="8" w:space="0"/>
            </w:tcBorders>
            <w:shd w:val="clear" w:color="auto" w:fill="auto"/>
            <w:vAlign w:val="top"/>
          </w:tcPr>
          <w:p>
            <w:pPr>
              <w:widowControl/>
              <w:ind w:left="-311" w:leftChars="-148" w:firstLine="312" w:firstLineChars="130"/>
              <w:jc w:val="left"/>
              <w:rPr>
                <w:rFonts w:ascii="宋体" w:hAnsi="宋体" w:cs="宋体"/>
                <w:kern w:val="0"/>
                <w:sz w:val="24"/>
              </w:rPr>
            </w:pPr>
            <w:r>
              <w:rPr>
                <w:rFonts w:hint="eastAsia" w:ascii="宋体" w:hAnsi="宋体" w:cs="宋体"/>
                <w:kern w:val="0"/>
                <w:sz w:val="24"/>
              </w:rPr>
              <w:t>代理申报日期:</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tc>
        <w:tc>
          <w:tcPr>
            <w:tcW w:w="3150" w:type="dxa"/>
            <w:gridSpan w:val="3"/>
            <w:tcBorders>
              <w:left w:val="single" w:color="auto" w:sz="8" w:space="0"/>
              <w:bottom w:val="single" w:color="auto" w:sz="8" w:space="0"/>
              <w:right w:val="single" w:color="auto" w:sz="8" w:space="0"/>
            </w:tcBorders>
            <w:shd w:val="clear" w:color="auto" w:fill="auto"/>
            <w:vAlign w:val="top"/>
          </w:tcPr>
          <w:p>
            <w:pPr>
              <w:widowControl/>
              <w:jc w:val="left"/>
              <w:rPr>
                <w:rFonts w:ascii="宋体" w:hAnsi="宋体" w:cs="宋体"/>
                <w:kern w:val="0"/>
                <w:sz w:val="24"/>
              </w:rPr>
            </w:pPr>
            <w:r>
              <w:rPr>
                <w:rFonts w:hint="eastAsia" w:ascii="宋体" w:hAnsi="宋体" w:cs="宋体"/>
                <w:kern w:val="0"/>
                <w:sz w:val="24"/>
              </w:rPr>
              <w:t>受理日期：</w:t>
            </w:r>
            <w:r>
              <w:rPr>
                <w:rFonts w:ascii="宋体" w:hAnsi="宋体" w:cs="宋体"/>
                <w:kern w:val="0"/>
                <w:sz w:val="24"/>
              </w:rPr>
              <w:t xml:space="preserve">    </w:t>
            </w:r>
            <w:r>
              <w:rPr>
                <w:rFonts w:hint="eastAsia" w:ascii="宋体" w:hAnsi="宋体" w:cs="宋体"/>
                <w:kern w:val="0"/>
                <w:sz w:val="24"/>
              </w:rPr>
              <w:t>年  月  日</w:t>
            </w:r>
          </w:p>
        </w:tc>
      </w:tr>
      <w:tr>
        <w:tblPrEx>
          <w:tblLayout w:type="fixed"/>
          <w:tblCellMar>
            <w:top w:w="0" w:type="dxa"/>
            <w:left w:w="108" w:type="dxa"/>
            <w:bottom w:w="0" w:type="dxa"/>
            <w:right w:w="108" w:type="dxa"/>
          </w:tblCellMar>
        </w:tblPrEx>
        <w:trPr>
          <w:trHeight w:val="679" w:hRule="atLeast"/>
          <w:jc w:val="center"/>
        </w:trPr>
        <w:tc>
          <w:tcPr>
            <w:tcW w:w="9789" w:type="dxa"/>
            <w:gridSpan w:val="11"/>
            <w:shd w:val="clear" w:color="auto" w:fill="auto"/>
            <w:vAlign w:val="bottom"/>
          </w:tcPr>
          <w:p>
            <w:pPr>
              <w:widowControl/>
              <w:ind w:right="357" w:rightChars="170"/>
              <w:jc w:val="right"/>
              <w:rPr>
                <w:rFonts w:ascii="宋体" w:hAnsi="宋体" w:cs="宋体"/>
                <w:b/>
                <w:bCs/>
                <w:kern w:val="0"/>
                <w:sz w:val="28"/>
                <w:szCs w:val="28"/>
              </w:rPr>
            </w:pPr>
            <w:r>
              <w:rPr>
                <w:rFonts w:hint="eastAsia" w:ascii="宋体" w:hAnsi="宋体" w:cs="宋体"/>
                <w:b/>
                <w:bCs/>
                <w:kern w:val="0"/>
                <w:sz w:val="28"/>
                <w:szCs w:val="28"/>
              </w:rPr>
              <w:t>国家税务总局监制</w:t>
            </w:r>
          </w:p>
        </w:tc>
      </w:tr>
    </w:tbl>
    <w:p>
      <w:pPr>
        <w:pStyle w:val="9"/>
        <w:sectPr>
          <w:pgSz w:w="11906" w:h="16838"/>
          <w:pgMar w:top="1985" w:right="1418" w:bottom="1928" w:left="1418" w:header="851" w:footer="992" w:gutter="113"/>
          <w:pgNumType w:start="1"/>
          <w:cols w:space="425" w:num="1"/>
          <w:titlePg/>
          <w:docGrid w:linePitch="312" w:charSpace="0"/>
        </w:sectPr>
      </w:pPr>
    </w:p>
    <w:p>
      <w:pPr>
        <w:pStyle w:val="8"/>
        <w:spacing w:before="240" w:after="360"/>
        <w:rPr>
          <w:color w:val="000000"/>
        </w:rPr>
      </w:pPr>
      <w:bookmarkStart w:id="6" w:name="_Toc499456550"/>
      <w:r>
        <w:rPr>
          <w:rFonts w:hint="eastAsia"/>
          <w:color w:val="000000"/>
        </w:rPr>
        <w:t>《中华人民共和国企业所得税年度纳税申报表（A类，201</w:t>
      </w:r>
      <w:r>
        <w:rPr>
          <w:color w:val="000000"/>
        </w:rPr>
        <w:t>7</w:t>
      </w:r>
      <w:r>
        <w:rPr>
          <w:rFonts w:hint="eastAsia"/>
          <w:color w:val="000000"/>
        </w:rPr>
        <w:t>年版）》</w:t>
      </w:r>
      <w:r>
        <w:rPr>
          <w:color w:val="000000"/>
        </w:rPr>
        <w:br w:type="textWrapping"/>
      </w:r>
      <w:r>
        <w:rPr>
          <w:rFonts w:hint="eastAsia"/>
          <w:color w:val="000000"/>
        </w:rPr>
        <w:t>封面填报说明</w:t>
      </w:r>
      <w:bookmarkEnd w:id="5"/>
      <w:bookmarkEnd w:id="6"/>
    </w:p>
    <w:p>
      <w:pPr>
        <w:pStyle w:val="9"/>
        <w:rPr>
          <w:color w:val="000000"/>
        </w:rPr>
      </w:pPr>
      <w:r>
        <w:rPr>
          <w:rFonts w:hint="eastAsia"/>
          <w:color w:val="000000"/>
        </w:rPr>
        <w:t>《中华人民共和国企业所得税年度纳税申报表（</w:t>
      </w:r>
      <w:r>
        <w:rPr>
          <w:color w:val="000000"/>
        </w:rPr>
        <w:t>A</w:t>
      </w:r>
      <w:r>
        <w:rPr>
          <w:rFonts w:hint="eastAsia"/>
          <w:color w:val="000000"/>
        </w:rPr>
        <w:t>类，201</w:t>
      </w:r>
      <w:r>
        <w:rPr>
          <w:color w:val="000000"/>
        </w:rPr>
        <w:t>7</w:t>
      </w:r>
      <w:r>
        <w:rPr>
          <w:rFonts w:hint="eastAsia"/>
          <w:color w:val="000000"/>
        </w:rPr>
        <w:t>年版）》（以下简称申报表）适用于实行查账征收企业所得税的居民企业纳税人（以下简称纳税人）填报。</w:t>
      </w:r>
      <w:bookmarkStart w:id="7" w:name="_Toc393480173"/>
      <w:r>
        <w:rPr>
          <w:rFonts w:hint="eastAsia"/>
          <w:color w:val="000000"/>
        </w:rPr>
        <w:t>有关项目填报说明</w:t>
      </w:r>
      <w:bookmarkEnd w:id="7"/>
      <w:r>
        <w:rPr>
          <w:rFonts w:hint="eastAsia"/>
          <w:color w:val="000000"/>
        </w:rPr>
        <w:t>如下：</w:t>
      </w:r>
    </w:p>
    <w:p>
      <w:pPr>
        <w:pStyle w:val="9"/>
        <w:rPr>
          <w:color w:val="000000"/>
        </w:rPr>
      </w:pPr>
      <w:r>
        <w:rPr>
          <w:rFonts w:hint="eastAsia"/>
          <w:color w:val="000000"/>
        </w:rPr>
        <w:t>1.“税款所属期间”：正常经营的纳税人，填报公历当年</w:t>
      </w:r>
      <w:r>
        <w:rPr>
          <w:color w:val="000000"/>
        </w:rPr>
        <w:t>1</w:t>
      </w:r>
      <w:r>
        <w:rPr>
          <w:rFonts w:hint="eastAsia"/>
          <w:color w:val="000000"/>
        </w:rPr>
        <w:t>月</w:t>
      </w:r>
      <w:r>
        <w:rPr>
          <w:color w:val="000000"/>
        </w:rPr>
        <w:t>1</w:t>
      </w:r>
      <w:r>
        <w:rPr>
          <w:rFonts w:hint="eastAsia"/>
          <w:color w:val="000000"/>
        </w:rPr>
        <w:t>日至</w:t>
      </w:r>
      <w:r>
        <w:rPr>
          <w:color w:val="000000"/>
        </w:rPr>
        <w:t>12</w:t>
      </w:r>
      <w:r>
        <w:rPr>
          <w:rFonts w:hint="eastAsia"/>
          <w:color w:val="000000"/>
        </w:rPr>
        <w:t>月</w:t>
      </w:r>
      <w:r>
        <w:rPr>
          <w:color w:val="000000"/>
        </w:rPr>
        <w:t>31</w:t>
      </w:r>
      <w:r>
        <w:rPr>
          <w:rFonts w:hint="eastAsia"/>
          <w:color w:val="000000"/>
        </w:rPr>
        <w:t>日；纳税人年度中间开业的，填报实际生产经营之日至当年</w:t>
      </w:r>
      <w:r>
        <w:rPr>
          <w:color w:val="000000"/>
        </w:rPr>
        <w:t>12</w:t>
      </w:r>
      <w:r>
        <w:rPr>
          <w:rFonts w:hint="eastAsia"/>
          <w:color w:val="000000"/>
        </w:rPr>
        <w:t>月</w:t>
      </w:r>
      <w:r>
        <w:rPr>
          <w:color w:val="000000"/>
        </w:rPr>
        <w:t>31</w:t>
      </w:r>
      <w:r>
        <w:rPr>
          <w:rFonts w:hint="eastAsia"/>
          <w:color w:val="000000"/>
        </w:rPr>
        <w:t>日；纳税人年度中间发生合并、分立、破产、停业等情况的，填报公历当年</w:t>
      </w:r>
      <w:r>
        <w:rPr>
          <w:color w:val="000000"/>
        </w:rPr>
        <w:t>1</w:t>
      </w:r>
      <w:r>
        <w:rPr>
          <w:rFonts w:hint="eastAsia"/>
          <w:color w:val="000000"/>
        </w:rPr>
        <w:t>月</w:t>
      </w:r>
      <w:r>
        <w:rPr>
          <w:color w:val="000000"/>
        </w:rPr>
        <w:t>1</w:t>
      </w:r>
      <w:r>
        <w:rPr>
          <w:rFonts w:hint="eastAsia"/>
          <w:color w:val="000000"/>
        </w:rPr>
        <w:t>日至实际停业或法院裁定并宣告破产之日；纳税人年度中间开业且年度中间又发生合并、分立、破产、停业等情况的，填报实际生产经营之日至实际停业或法院裁定并宣告破产之日。</w:t>
      </w:r>
    </w:p>
    <w:p>
      <w:pPr>
        <w:pStyle w:val="9"/>
        <w:rPr>
          <w:color w:val="000000"/>
        </w:rPr>
      </w:pPr>
      <w:r>
        <w:rPr>
          <w:color w:val="000000"/>
        </w:rPr>
        <w:t>2.</w:t>
      </w:r>
      <w:r>
        <w:rPr>
          <w:rFonts w:hint="eastAsia"/>
          <w:color w:val="000000"/>
        </w:rPr>
        <w:t>“纳税人统一社会信用代码（纳税人识别号）”：</w:t>
      </w:r>
      <w:bookmarkStart w:id="8" w:name="_Hlk499038502"/>
      <w:r>
        <w:rPr>
          <w:rFonts w:hint="eastAsia"/>
        </w:rPr>
        <w:t>填报工商等部门核发的统一社会信用代码。未取得统一社会信用代码的，填报税务机关核发的纳税人识别号。</w:t>
      </w:r>
      <w:bookmarkEnd w:id="8"/>
    </w:p>
    <w:p>
      <w:pPr>
        <w:pStyle w:val="9"/>
        <w:rPr>
          <w:color w:val="000000"/>
        </w:rPr>
      </w:pPr>
      <w:r>
        <w:rPr>
          <w:color w:val="000000"/>
        </w:rPr>
        <w:t>3.</w:t>
      </w:r>
      <w:r>
        <w:rPr>
          <w:rFonts w:hint="eastAsia"/>
          <w:color w:val="000000"/>
        </w:rPr>
        <w:t>“纳税人名称”：填报营业执照、税务登记证等证件载明的纳税人名称。</w:t>
      </w:r>
    </w:p>
    <w:p>
      <w:pPr>
        <w:pStyle w:val="9"/>
        <w:rPr>
          <w:color w:val="000000"/>
        </w:rPr>
      </w:pPr>
      <w:r>
        <w:rPr>
          <w:color w:val="000000"/>
        </w:rPr>
        <w:t>4.</w:t>
      </w:r>
      <w:r>
        <w:rPr>
          <w:rFonts w:hint="eastAsia"/>
          <w:color w:val="000000"/>
        </w:rPr>
        <w:t>“填报日期”：填报纳税人申报当日日期。</w:t>
      </w:r>
    </w:p>
    <w:p>
      <w:pPr>
        <w:pStyle w:val="9"/>
        <w:rPr>
          <w:color w:val="000000"/>
        </w:rPr>
        <w:sectPr>
          <w:pgSz w:w="11906" w:h="16838"/>
          <w:pgMar w:top="1985" w:right="1418" w:bottom="1928" w:left="1418" w:header="851" w:footer="992" w:gutter="113"/>
          <w:cols w:space="425" w:num="1"/>
          <w:docGrid w:linePitch="312" w:charSpace="0"/>
        </w:sectPr>
      </w:pPr>
      <w:r>
        <w:rPr>
          <w:color w:val="000000"/>
        </w:rPr>
        <w:t>5.</w:t>
      </w:r>
      <w:r>
        <w:rPr>
          <w:rFonts w:hint="eastAsia"/>
          <w:color w:val="000000"/>
        </w:rPr>
        <w:t>纳税人聘请中介机构代理申报的，加盖代理申报中介机构公章，并填报经办人及其执业证件号码等，没有聘请的，填报“无”。</w:t>
      </w:r>
    </w:p>
    <w:tbl>
      <w:tblPr>
        <w:tblStyle w:val="7"/>
        <w:tblpPr w:leftFromText="180" w:rightFromText="180" w:vertAnchor="page" w:horzAnchor="margin" w:tblpXSpec="center" w:tblpY="2668"/>
        <w:tblW w:w="990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9"/>
        <w:gridCol w:w="7201"/>
        <w:gridCol w:w="822"/>
        <w:gridCol w:w="8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vMerge w:val="restart"/>
            <w:shd w:val="clear" w:color="auto" w:fill="auto"/>
            <w:vAlign w:val="center"/>
          </w:tcPr>
          <w:p>
            <w:pPr>
              <w:widowControl/>
              <w:jc w:val="center"/>
              <w:rPr>
                <w:rFonts w:ascii="宋体" w:hAnsi="宋体" w:cs="宋体"/>
                <w:b/>
                <w:kern w:val="0"/>
                <w:sz w:val="20"/>
                <w:szCs w:val="20"/>
              </w:rPr>
            </w:pPr>
            <w:r>
              <w:rPr>
                <w:rFonts w:hint="eastAsia" w:ascii="宋体" w:hAnsi="宋体" w:cs="宋体"/>
                <w:b/>
                <w:kern w:val="0"/>
                <w:sz w:val="20"/>
                <w:szCs w:val="20"/>
              </w:rPr>
              <w:t>表单编号</w:t>
            </w:r>
          </w:p>
        </w:tc>
        <w:tc>
          <w:tcPr>
            <w:tcW w:w="7201" w:type="dxa"/>
            <w:vMerge w:val="restart"/>
            <w:shd w:val="clear" w:color="auto" w:fill="auto"/>
            <w:vAlign w:val="center"/>
          </w:tcPr>
          <w:p>
            <w:pPr>
              <w:widowControl/>
              <w:jc w:val="center"/>
              <w:rPr>
                <w:rFonts w:ascii="宋体" w:hAnsi="宋体" w:cs="宋体"/>
                <w:b/>
                <w:kern w:val="0"/>
                <w:sz w:val="20"/>
                <w:szCs w:val="20"/>
              </w:rPr>
            </w:pPr>
            <w:r>
              <w:rPr>
                <w:rFonts w:hint="eastAsia" w:ascii="宋体" w:hAnsi="宋体" w:cs="宋体"/>
                <w:b/>
                <w:kern w:val="0"/>
                <w:sz w:val="20"/>
                <w:szCs w:val="20"/>
              </w:rPr>
              <w:t>表单名称</w:t>
            </w:r>
          </w:p>
        </w:tc>
        <w:tc>
          <w:tcPr>
            <w:tcW w:w="1652" w:type="dxa"/>
            <w:gridSpan w:val="2"/>
            <w:shd w:val="clear" w:color="auto" w:fill="auto"/>
            <w:vAlign w:val="center"/>
          </w:tcPr>
          <w:p>
            <w:pPr>
              <w:widowControl/>
              <w:jc w:val="center"/>
              <w:rPr>
                <w:rFonts w:ascii="宋体" w:hAnsi="宋体" w:cs="宋体"/>
                <w:b/>
                <w:kern w:val="0"/>
                <w:sz w:val="20"/>
                <w:szCs w:val="20"/>
              </w:rPr>
            </w:pPr>
            <w:r>
              <w:rPr>
                <w:rFonts w:hint="eastAsia" w:ascii="宋体" w:hAnsi="宋体" w:cs="宋体"/>
                <w:b/>
                <w:kern w:val="0"/>
                <w:sz w:val="20"/>
                <w:szCs w:val="20"/>
              </w:rPr>
              <w:t>选择填报情况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vMerge w:val="continue"/>
            <w:shd w:val="clear" w:color="auto" w:fill="auto"/>
            <w:vAlign w:val="center"/>
          </w:tcPr>
          <w:p>
            <w:pPr>
              <w:widowControl/>
              <w:jc w:val="left"/>
              <w:rPr>
                <w:rFonts w:ascii="宋体" w:hAnsi="宋体" w:cs="宋体"/>
                <w:b/>
                <w:kern w:val="0"/>
                <w:sz w:val="20"/>
                <w:szCs w:val="20"/>
              </w:rPr>
            </w:pPr>
          </w:p>
        </w:tc>
        <w:tc>
          <w:tcPr>
            <w:tcW w:w="7201" w:type="dxa"/>
            <w:vMerge w:val="continue"/>
            <w:shd w:val="clear" w:color="auto" w:fill="auto"/>
            <w:vAlign w:val="center"/>
          </w:tcPr>
          <w:p>
            <w:pPr>
              <w:widowControl/>
              <w:jc w:val="left"/>
              <w:rPr>
                <w:rFonts w:ascii="宋体" w:hAnsi="宋体" w:cs="宋体"/>
                <w:b/>
                <w:kern w:val="0"/>
                <w:sz w:val="20"/>
                <w:szCs w:val="20"/>
              </w:rPr>
            </w:pPr>
          </w:p>
        </w:tc>
        <w:tc>
          <w:tcPr>
            <w:tcW w:w="822" w:type="dxa"/>
            <w:shd w:val="clear" w:color="auto" w:fill="auto"/>
            <w:vAlign w:val="center"/>
          </w:tcPr>
          <w:p>
            <w:pPr>
              <w:widowControl/>
              <w:jc w:val="center"/>
              <w:rPr>
                <w:rFonts w:ascii="宋体" w:hAnsi="宋体" w:cs="宋体"/>
                <w:b/>
                <w:kern w:val="0"/>
                <w:sz w:val="20"/>
                <w:szCs w:val="20"/>
              </w:rPr>
            </w:pPr>
            <w:r>
              <w:rPr>
                <w:rFonts w:hint="eastAsia" w:ascii="宋体" w:hAnsi="宋体" w:cs="宋体"/>
                <w:b/>
                <w:kern w:val="0"/>
                <w:sz w:val="20"/>
                <w:szCs w:val="20"/>
              </w:rPr>
              <w:t>填 报</w:t>
            </w:r>
          </w:p>
        </w:tc>
        <w:tc>
          <w:tcPr>
            <w:tcW w:w="830" w:type="dxa"/>
            <w:shd w:val="clear" w:color="auto" w:fill="auto"/>
            <w:vAlign w:val="center"/>
          </w:tcPr>
          <w:p>
            <w:pPr>
              <w:widowControl/>
              <w:jc w:val="center"/>
              <w:rPr>
                <w:rFonts w:ascii="宋体" w:hAnsi="宋体" w:cs="宋体"/>
                <w:b/>
                <w:kern w:val="0"/>
                <w:sz w:val="20"/>
                <w:szCs w:val="20"/>
              </w:rPr>
            </w:pPr>
            <w:r>
              <w:rPr>
                <w:rFonts w:hint="eastAsia" w:ascii="宋体" w:hAnsi="宋体" w:cs="宋体"/>
                <w:b/>
                <w:kern w:val="0"/>
                <w:sz w:val="20"/>
                <w:szCs w:val="20"/>
              </w:rPr>
              <w:t>不填报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A000000</w:t>
            </w:r>
          </w:p>
        </w:tc>
        <w:tc>
          <w:tcPr>
            <w:tcW w:w="7201" w:type="dxa"/>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企业基础信息表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A100000</w:t>
            </w:r>
          </w:p>
        </w:tc>
        <w:tc>
          <w:tcPr>
            <w:tcW w:w="7201" w:type="dxa"/>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中华人民共和国企业所得税年度纳税申报表（A类）</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A101010</w:t>
            </w:r>
          </w:p>
        </w:tc>
        <w:tc>
          <w:tcPr>
            <w:tcW w:w="7201" w:type="dxa"/>
            <w:shd w:val="clear" w:color="auto" w:fill="auto"/>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一般企业收入明细表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A101020</w:t>
            </w:r>
          </w:p>
        </w:tc>
        <w:tc>
          <w:tcPr>
            <w:tcW w:w="7201" w:type="dxa"/>
            <w:shd w:val="clear" w:color="auto" w:fill="auto"/>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金融企业收入明细表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A102010</w:t>
            </w:r>
          </w:p>
        </w:tc>
        <w:tc>
          <w:tcPr>
            <w:tcW w:w="7201" w:type="dxa"/>
            <w:shd w:val="clear" w:color="auto" w:fill="auto"/>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一般企业成本支出明细表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A102020</w:t>
            </w:r>
          </w:p>
        </w:tc>
        <w:tc>
          <w:tcPr>
            <w:tcW w:w="7201" w:type="dxa"/>
            <w:shd w:val="clear" w:color="auto" w:fill="auto"/>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金融企业支出明细表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A103000</w:t>
            </w:r>
          </w:p>
        </w:tc>
        <w:tc>
          <w:tcPr>
            <w:tcW w:w="7201" w:type="dxa"/>
            <w:shd w:val="clear" w:color="auto" w:fill="auto"/>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事业单位、民间非营利组织收入、支出明细表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A104000</w:t>
            </w:r>
          </w:p>
        </w:tc>
        <w:tc>
          <w:tcPr>
            <w:tcW w:w="7201" w:type="dxa"/>
            <w:shd w:val="clear" w:color="auto" w:fill="auto"/>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期间费用明细表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A105000</w:t>
            </w:r>
          </w:p>
        </w:tc>
        <w:tc>
          <w:tcPr>
            <w:tcW w:w="7201" w:type="dxa"/>
            <w:shd w:val="clear" w:color="auto" w:fill="auto"/>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纳税调整项目明细表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A105010</w:t>
            </w:r>
          </w:p>
        </w:tc>
        <w:tc>
          <w:tcPr>
            <w:tcW w:w="7201" w:type="dxa"/>
            <w:shd w:val="clear" w:color="auto" w:fill="auto"/>
            <w:vAlign w:val="center"/>
          </w:tcPr>
          <w:p>
            <w:pPr>
              <w:widowControl/>
              <w:ind w:firstLine="800" w:firstLineChars="400"/>
              <w:rPr>
                <w:rFonts w:ascii="宋体" w:hAnsi="宋体" w:cs="宋体"/>
                <w:kern w:val="0"/>
                <w:sz w:val="20"/>
                <w:szCs w:val="20"/>
              </w:rPr>
            </w:pPr>
            <w:r>
              <w:rPr>
                <w:rFonts w:hint="eastAsia" w:ascii="宋体" w:hAnsi="宋体" w:cs="宋体"/>
                <w:kern w:val="0"/>
                <w:sz w:val="20"/>
                <w:szCs w:val="20"/>
              </w:rPr>
              <w:t>视同销售和房地产开发企业特定业务纳税调整明细表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A105020</w:t>
            </w:r>
          </w:p>
        </w:tc>
        <w:tc>
          <w:tcPr>
            <w:tcW w:w="7201" w:type="dxa"/>
            <w:shd w:val="clear" w:color="auto" w:fill="auto"/>
            <w:vAlign w:val="center"/>
          </w:tcPr>
          <w:p>
            <w:pPr>
              <w:widowControl/>
              <w:ind w:firstLine="800" w:firstLineChars="400"/>
              <w:rPr>
                <w:rFonts w:ascii="宋体" w:hAnsi="宋体" w:cs="宋体"/>
                <w:kern w:val="0"/>
                <w:sz w:val="20"/>
                <w:szCs w:val="20"/>
              </w:rPr>
            </w:pPr>
            <w:r>
              <w:rPr>
                <w:rFonts w:hint="eastAsia" w:ascii="宋体" w:hAnsi="宋体" w:cs="宋体"/>
                <w:kern w:val="0"/>
                <w:sz w:val="20"/>
                <w:szCs w:val="20"/>
              </w:rPr>
              <w:t>未按权责发生制确认收入纳税调整明细表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A105030</w:t>
            </w:r>
          </w:p>
        </w:tc>
        <w:tc>
          <w:tcPr>
            <w:tcW w:w="7201" w:type="dxa"/>
            <w:shd w:val="clear" w:color="auto" w:fill="auto"/>
            <w:vAlign w:val="center"/>
          </w:tcPr>
          <w:p>
            <w:pPr>
              <w:widowControl/>
              <w:ind w:firstLine="800" w:firstLineChars="400"/>
              <w:rPr>
                <w:rFonts w:ascii="宋体" w:hAnsi="宋体" w:cs="宋体"/>
                <w:kern w:val="0"/>
                <w:sz w:val="20"/>
                <w:szCs w:val="20"/>
              </w:rPr>
            </w:pPr>
            <w:r>
              <w:rPr>
                <w:rFonts w:hint="eastAsia" w:ascii="宋体" w:hAnsi="宋体" w:cs="宋体"/>
                <w:kern w:val="0"/>
                <w:sz w:val="20"/>
                <w:szCs w:val="20"/>
              </w:rPr>
              <w:t>投资收益纳税调整明细表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A105040</w:t>
            </w:r>
          </w:p>
        </w:tc>
        <w:tc>
          <w:tcPr>
            <w:tcW w:w="7201" w:type="dxa"/>
            <w:shd w:val="clear" w:color="auto" w:fill="auto"/>
            <w:vAlign w:val="center"/>
          </w:tcPr>
          <w:p>
            <w:pPr>
              <w:widowControl/>
              <w:ind w:firstLine="800" w:firstLineChars="400"/>
              <w:rPr>
                <w:rFonts w:ascii="宋体" w:hAnsi="宋体" w:cs="宋体"/>
                <w:kern w:val="0"/>
                <w:sz w:val="20"/>
                <w:szCs w:val="20"/>
              </w:rPr>
            </w:pPr>
            <w:r>
              <w:rPr>
                <w:rFonts w:hint="eastAsia" w:ascii="宋体" w:hAnsi="宋体" w:cs="宋体"/>
                <w:kern w:val="0"/>
                <w:sz w:val="20"/>
                <w:szCs w:val="20"/>
              </w:rPr>
              <w:t>专项用途财政性资金纳税调整明细表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A105050</w:t>
            </w:r>
          </w:p>
        </w:tc>
        <w:tc>
          <w:tcPr>
            <w:tcW w:w="7201" w:type="dxa"/>
            <w:shd w:val="clear" w:color="auto" w:fill="auto"/>
            <w:vAlign w:val="center"/>
          </w:tcPr>
          <w:p>
            <w:pPr>
              <w:widowControl/>
              <w:ind w:firstLine="800" w:firstLineChars="400"/>
              <w:rPr>
                <w:rFonts w:ascii="宋体" w:hAnsi="宋体" w:cs="宋体"/>
                <w:kern w:val="0"/>
                <w:sz w:val="20"/>
                <w:szCs w:val="20"/>
              </w:rPr>
            </w:pPr>
            <w:r>
              <w:rPr>
                <w:rFonts w:hint="eastAsia" w:ascii="宋体" w:hAnsi="宋体" w:cs="宋体"/>
                <w:kern w:val="0"/>
                <w:sz w:val="20"/>
                <w:szCs w:val="20"/>
              </w:rPr>
              <w:t>职工薪酬支出及纳税调整明细表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A105060</w:t>
            </w:r>
          </w:p>
        </w:tc>
        <w:tc>
          <w:tcPr>
            <w:tcW w:w="7201" w:type="dxa"/>
            <w:shd w:val="clear" w:color="auto" w:fill="auto"/>
            <w:vAlign w:val="center"/>
          </w:tcPr>
          <w:p>
            <w:pPr>
              <w:widowControl/>
              <w:ind w:firstLine="800" w:firstLineChars="400"/>
              <w:rPr>
                <w:rFonts w:ascii="宋体" w:hAnsi="宋体" w:cs="宋体"/>
                <w:kern w:val="0"/>
                <w:sz w:val="20"/>
                <w:szCs w:val="20"/>
              </w:rPr>
            </w:pPr>
            <w:r>
              <w:rPr>
                <w:rFonts w:hint="eastAsia" w:ascii="宋体" w:hAnsi="宋体" w:cs="宋体"/>
                <w:kern w:val="0"/>
                <w:sz w:val="20"/>
                <w:szCs w:val="20"/>
              </w:rPr>
              <w:t>广告费和业务宣传费跨年度纳税调整明细表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A105070</w:t>
            </w:r>
          </w:p>
        </w:tc>
        <w:tc>
          <w:tcPr>
            <w:tcW w:w="7201" w:type="dxa"/>
            <w:shd w:val="clear" w:color="auto" w:fill="auto"/>
            <w:vAlign w:val="center"/>
          </w:tcPr>
          <w:p>
            <w:pPr>
              <w:widowControl/>
              <w:ind w:firstLine="800" w:firstLineChars="400"/>
              <w:rPr>
                <w:rFonts w:ascii="宋体" w:hAnsi="宋体" w:cs="宋体"/>
                <w:kern w:val="0"/>
                <w:sz w:val="20"/>
                <w:szCs w:val="20"/>
              </w:rPr>
            </w:pPr>
            <w:r>
              <w:rPr>
                <w:rFonts w:hint="eastAsia" w:ascii="宋体" w:hAnsi="宋体" w:cs="宋体"/>
                <w:kern w:val="0"/>
                <w:sz w:val="20"/>
                <w:szCs w:val="20"/>
              </w:rPr>
              <w:t>捐赠支出及纳税调整明细表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A105080</w:t>
            </w:r>
          </w:p>
        </w:tc>
        <w:tc>
          <w:tcPr>
            <w:tcW w:w="7201" w:type="dxa"/>
            <w:shd w:val="clear" w:color="auto" w:fill="auto"/>
            <w:vAlign w:val="center"/>
          </w:tcPr>
          <w:p>
            <w:pPr>
              <w:widowControl/>
              <w:ind w:firstLine="800" w:firstLineChars="400"/>
              <w:rPr>
                <w:rFonts w:ascii="宋体" w:hAnsi="宋体" w:cs="宋体"/>
                <w:kern w:val="0"/>
                <w:sz w:val="20"/>
                <w:szCs w:val="20"/>
              </w:rPr>
            </w:pPr>
            <w:r>
              <w:rPr>
                <w:rFonts w:hint="eastAsia" w:ascii="宋体" w:hAnsi="宋体" w:cs="宋体"/>
                <w:kern w:val="0"/>
                <w:sz w:val="20"/>
                <w:szCs w:val="20"/>
              </w:rPr>
              <w:t>资产折旧、摊销及纳税调整明细表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A105090</w:t>
            </w:r>
          </w:p>
        </w:tc>
        <w:tc>
          <w:tcPr>
            <w:tcW w:w="7201" w:type="dxa"/>
            <w:shd w:val="clear" w:color="auto" w:fill="auto"/>
            <w:vAlign w:val="center"/>
          </w:tcPr>
          <w:p>
            <w:pPr>
              <w:widowControl/>
              <w:ind w:firstLine="800" w:firstLineChars="400"/>
              <w:rPr>
                <w:rFonts w:ascii="宋体" w:hAnsi="宋体" w:cs="宋体"/>
                <w:kern w:val="0"/>
                <w:sz w:val="20"/>
                <w:szCs w:val="20"/>
              </w:rPr>
            </w:pPr>
            <w:r>
              <w:rPr>
                <w:rFonts w:hint="eastAsia" w:ascii="宋体" w:hAnsi="宋体" w:cs="宋体"/>
                <w:kern w:val="0"/>
                <w:sz w:val="20"/>
                <w:szCs w:val="20"/>
              </w:rPr>
              <w:t>资产损失税前扣除及纳税调整明细表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A105100</w:t>
            </w:r>
          </w:p>
        </w:tc>
        <w:tc>
          <w:tcPr>
            <w:tcW w:w="7201" w:type="dxa"/>
            <w:shd w:val="clear" w:color="auto" w:fill="auto"/>
            <w:vAlign w:val="center"/>
          </w:tcPr>
          <w:p>
            <w:pPr>
              <w:widowControl/>
              <w:ind w:firstLine="800" w:firstLineChars="400"/>
              <w:rPr>
                <w:rFonts w:ascii="宋体" w:hAnsi="宋体" w:cs="宋体"/>
                <w:kern w:val="0"/>
                <w:sz w:val="20"/>
                <w:szCs w:val="20"/>
              </w:rPr>
            </w:pPr>
            <w:r>
              <w:rPr>
                <w:rFonts w:hint="eastAsia" w:ascii="宋体" w:hAnsi="宋体" w:cs="宋体"/>
                <w:kern w:val="0"/>
                <w:sz w:val="20"/>
                <w:szCs w:val="20"/>
              </w:rPr>
              <w:t>企业重组及递延纳税事项纳税调整明细表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A105110</w:t>
            </w:r>
          </w:p>
        </w:tc>
        <w:tc>
          <w:tcPr>
            <w:tcW w:w="7201" w:type="dxa"/>
            <w:shd w:val="clear" w:color="auto" w:fill="auto"/>
            <w:vAlign w:val="center"/>
          </w:tcPr>
          <w:p>
            <w:pPr>
              <w:widowControl/>
              <w:ind w:firstLine="800" w:firstLineChars="400"/>
              <w:rPr>
                <w:rFonts w:ascii="宋体" w:hAnsi="宋体" w:cs="宋体"/>
                <w:kern w:val="0"/>
                <w:sz w:val="20"/>
                <w:szCs w:val="20"/>
              </w:rPr>
            </w:pPr>
            <w:r>
              <w:rPr>
                <w:rFonts w:hint="eastAsia" w:ascii="宋体" w:hAnsi="宋体" w:cs="宋体"/>
                <w:kern w:val="0"/>
                <w:sz w:val="20"/>
                <w:szCs w:val="20"/>
              </w:rPr>
              <w:t>政策性搬迁纳税调整明细表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A105120</w:t>
            </w:r>
          </w:p>
        </w:tc>
        <w:tc>
          <w:tcPr>
            <w:tcW w:w="7201" w:type="dxa"/>
            <w:shd w:val="clear" w:color="auto" w:fill="auto"/>
            <w:vAlign w:val="center"/>
          </w:tcPr>
          <w:p>
            <w:pPr>
              <w:widowControl/>
              <w:ind w:firstLine="800" w:firstLineChars="400"/>
              <w:rPr>
                <w:rFonts w:ascii="宋体" w:hAnsi="宋体" w:cs="宋体"/>
                <w:kern w:val="0"/>
                <w:sz w:val="20"/>
                <w:szCs w:val="20"/>
              </w:rPr>
            </w:pPr>
            <w:r>
              <w:rPr>
                <w:rFonts w:hint="eastAsia" w:ascii="宋体" w:hAnsi="宋体" w:cs="宋体"/>
                <w:kern w:val="0"/>
                <w:sz w:val="20"/>
                <w:szCs w:val="20"/>
              </w:rPr>
              <w:t>特殊行业准备金及纳税调整明细表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A106000</w:t>
            </w:r>
          </w:p>
        </w:tc>
        <w:tc>
          <w:tcPr>
            <w:tcW w:w="7201" w:type="dxa"/>
            <w:shd w:val="clear" w:color="auto" w:fill="auto"/>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企业所得税弥补亏损明细表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A107010</w:t>
            </w:r>
          </w:p>
        </w:tc>
        <w:tc>
          <w:tcPr>
            <w:tcW w:w="7201" w:type="dxa"/>
            <w:shd w:val="clear" w:color="auto" w:fill="auto"/>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免税、减计收入及加计扣除优惠明细表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A107011</w:t>
            </w:r>
          </w:p>
        </w:tc>
        <w:tc>
          <w:tcPr>
            <w:tcW w:w="7201" w:type="dxa"/>
            <w:shd w:val="clear" w:color="auto" w:fill="auto"/>
            <w:vAlign w:val="center"/>
          </w:tcPr>
          <w:p>
            <w:pPr>
              <w:widowControl/>
              <w:ind w:firstLine="800" w:firstLineChars="400"/>
              <w:rPr>
                <w:rFonts w:ascii="宋体" w:hAnsi="宋体" w:cs="宋体"/>
                <w:kern w:val="0"/>
                <w:sz w:val="20"/>
                <w:szCs w:val="20"/>
              </w:rPr>
            </w:pPr>
            <w:r>
              <w:rPr>
                <w:rFonts w:hint="eastAsia" w:ascii="宋体" w:hAnsi="宋体" w:cs="宋体"/>
                <w:kern w:val="0"/>
                <w:sz w:val="20"/>
                <w:szCs w:val="20"/>
              </w:rPr>
              <w:t>符合条件的居民企业之间的股息、红利等权益性投资收益优惠明细表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A107012</w:t>
            </w:r>
          </w:p>
        </w:tc>
        <w:tc>
          <w:tcPr>
            <w:tcW w:w="7201" w:type="dxa"/>
            <w:shd w:val="clear" w:color="auto" w:fill="auto"/>
            <w:vAlign w:val="center"/>
          </w:tcPr>
          <w:p>
            <w:pPr>
              <w:widowControl/>
              <w:ind w:firstLine="800" w:firstLineChars="400"/>
              <w:rPr>
                <w:rFonts w:ascii="宋体" w:hAnsi="宋体" w:cs="宋体"/>
                <w:kern w:val="0"/>
                <w:sz w:val="20"/>
                <w:szCs w:val="20"/>
              </w:rPr>
            </w:pPr>
            <w:r>
              <w:rPr>
                <w:rFonts w:hint="eastAsia" w:ascii="宋体" w:hAnsi="宋体" w:cs="宋体"/>
                <w:kern w:val="0"/>
                <w:sz w:val="20"/>
                <w:szCs w:val="20"/>
              </w:rPr>
              <w:t>研发费用加计扣除优惠明细表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A107020</w:t>
            </w:r>
          </w:p>
        </w:tc>
        <w:tc>
          <w:tcPr>
            <w:tcW w:w="7201" w:type="dxa"/>
            <w:shd w:val="clear" w:color="auto" w:fill="auto"/>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所得减免优惠明细表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A107030</w:t>
            </w:r>
          </w:p>
        </w:tc>
        <w:tc>
          <w:tcPr>
            <w:tcW w:w="7201" w:type="dxa"/>
            <w:shd w:val="clear" w:color="auto" w:fill="auto"/>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抵扣应纳税所得额明细表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A107040</w:t>
            </w:r>
          </w:p>
        </w:tc>
        <w:tc>
          <w:tcPr>
            <w:tcW w:w="7201" w:type="dxa"/>
            <w:shd w:val="clear" w:color="auto" w:fill="auto"/>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减免所得税优惠明细表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A107041</w:t>
            </w:r>
          </w:p>
        </w:tc>
        <w:tc>
          <w:tcPr>
            <w:tcW w:w="7201" w:type="dxa"/>
            <w:shd w:val="clear" w:color="auto" w:fill="auto"/>
            <w:vAlign w:val="center"/>
          </w:tcPr>
          <w:p>
            <w:pPr>
              <w:widowControl/>
              <w:ind w:firstLine="800" w:firstLineChars="400"/>
              <w:rPr>
                <w:rFonts w:ascii="宋体" w:hAnsi="宋体" w:cs="宋体"/>
                <w:kern w:val="0"/>
                <w:sz w:val="20"/>
                <w:szCs w:val="20"/>
              </w:rPr>
            </w:pPr>
            <w:r>
              <w:rPr>
                <w:rFonts w:hint="eastAsia" w:ascii="宋体" w:hAnsi="宋体" w:cs="宋体"/>
                <w:kern w:val="0"/>
                <w:sz w:val="20"/>
                <w:szCs w:val="20"/>
              </w:rPr>
              <w:t>高新技术企业优惠情况及明细表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A107042</w:t>
            </w:r>
          </w:p>
        </w:tc>
        <w:tc>
          <w:tcPr>
            <w:tcW w:w="7201" w:type="dxa"/>
            <w:shd w:val="clear" w:color="auto" w:fill="auto"/>
            <w:vAlign w:val="center"/>
          </w:tcPr>
          <w:p>
            <w:pPr>
              <w:widowControl/>
              <w:ind w:firstLine="800" w:firstLineChars="400"/>
              <w:rPr>
                <w:rFonts w:ascii="宋体" w:hAnsi="宋体" w:cs="宋体"/>
                <w:kern w:val="0"/>
                <w:sz w:val="20"/>
                <w:szCs w:val="20"/>
              </w:rPr>
            </w:pPr>
            <w:r>
              <w:rPr>
                <w:rFonts w:hint="eastAsia" w:ascii="宋体" w:hAnsi="宋体" w:cs="宋体"/>
                <w:kern w:val="0"/>
                <w:sz w:val="20"/>
                <w:szCs w:val="20"/>
              </w:rPr>
              <w:t>软件、集成电路企业优惠情况及明细表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A107050</w:t>
            </w:r>
          </w:p>
        </w:tc>
        <w:tc>
          <w:tcPr>
            <w:tcW w:w="7201" w:type="dxa"/>
            <w:shd w:val="clear" w:color="auto" w:fill="auto"/>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税额抵免优惠明细表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A108000</w:t>
            </w:r>
          </w:p>
        </w:tc>
        <w:tc>
          <w:tcPr>
            <w:tcW w:w="7201" w:type="dxa"/>
            <w:shd w:val="clear" w:color="auto" w:fill="auto"/>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境外所得税收抵免明细表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A108010</w:t>
            </w:r>
          </w:p>
        </w:tc>
        <w:tc>
          <w:tcPr>
            <w:tcW w:w="7201" w:type="dxa"/>
            <w:shd w:val="clear" w:color="auto" w:fill="auto"/>
            <w:vAlign w:val="center"/>
          </w:tcPr>
          <w:p>
            <w:pPr>
              <w:widowControl/>
              <w:ind w:firstLine="800" w:firstLineChars="400"/>
              <w:rPr>
                <w:rFonts w:ascii="宋体" w:hAnsi="宋体" w:cs="宋体"/>
                <w:kern w:val="0"/>
                <w:sz w:val="20"/>
                <w:szCs w:val="20"/>
              </w:rPr>
            </w:pPr>
            <w:r>
              <w:rPr>
                <w:rFonts w:hint="eastAsia" w:ascii="宋体" w:hAnsi="宋体" w:cs="宋体"/>
                <w:kern w:val="0"/>
                <w:sz w:val="20"/>
                <w:szCs w:val="20"/>
              </w:rPr>
              <w:t>境外所得纳税调整后所得明细表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A108020</w:t>
            </w:r>
          </w:p>
        </w:tc>
        <w:tc>
          <w:tcPr>
            <w:tcW w:w="7201" w:type="dxa"/>
            <w:shd w:val="clear" w:color="auto" w:fill="auto"/>
            <w:vAlign w:val="center"/>
          </w:tcPr>
          <w:p>
            <w:pPr>
              <w:widowControl/>
              <w:ind w:firstLine="800" w:firstLineChars="400"/>
              <w:rPr>
                <w:rFonts w:ascii="宋体" w:hAnsi="宋体" w:cs="宋体"/>
                <w:kern w:val="0"/>
                <w:sz w:val="20"/>
                <w:szCs w:val="20"/>
              </w:rPr>
            </w:pPr>
            <w:r>
              <w:rPr>
                <w:rFonts w:hint="eastAsia" w:ascii="宋体" w:hAnsi="宋体" w:cs="宋体"/>
                <w:kern w:val="0"/>
                <w:sz w:val="20"/>
                <w:szCs w:val="20"/>
              </w:rPr>
              <w:t>境外分支机构弥补亏损明细表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A108030</w:t>
            </w:r>
          </w:p>
        </w:tc>
        <w:tc>
          <w:tcPr>
            <w:tcW w:w="7201" w:type="dxa"/>
            <w:shd w:val="clear" w:color="auto" w:fill="auto"/>
            <w:vAlign w:val="center"/>
          </w:tcPr>
          <w:p>
            <w:pPr>
              <w:widowControl/>
              <w:ind w:firstLine="800" w:firstLineChars="400"/>
              <w:rPr>
                <w:rFonts w:ascii="宋体" w:hAnsi="宋体" w:cs="宋体"/>
                <w:kern w:val="0"/>
                <w:sz w:val="20"/>
                <w:szCs w:val="20"/>
              </w:rPr>
            </w:pPr>
            <w:r>
              <w:rPr>
                <w:rFonts w:hint="eastAsia" w:ascii="宋体" w:hAnsi="宋体" w:cs="宋体"/>
                <w:kern w:val="0"/>
                <w:sz w:val="20"/>
                <w:szCs w:val="20"/>
              </w:rPr>
              <w:t>跨年度结转抵免境外所得税明细表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A109000</w:t>
            </w:r>
          </w:p>
        </w:tc>
        <w:tc>
          <w:tcPr>
            <w:tcW w:w="7201" w:type="dxa"/>
            <w:shd w:val="clear" w:color="auto" w:fill="auto"/>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跨地区经营汇总纳税企业年度分摊企业所得税明细表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A109010</w:t>
            </w:r>
          </w:p>
        </w:tc>
        <w:tc>
          <w:tcPr>
            <w:tcW w:w="7201" w:type="dxa"/>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企业所得税汇总纳税分支机构所得税分配表</w:t>
            </w:r>
          </w:p>
        </w:tc>
        <w:tc>
          <w:tcPr>
            <w:tcW w:w="82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trPr>
        <w:tc>
          <w:tcPr>
            <w:tcW w:w="9902" w:type="dxa"/>
            <w:gridSpan w:val="4"/>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说明：企业应当根据实际情况选择需要填报的表单。</w:t>
            </w:r>
          </w:p>
        </w:tc>
      </w:tr>
    </w:tbl>
    <w:p>
      <w:pPr>
        <w:pStyle w:val="10"/>
        <w:sectPr>
          <w:pgSz w:w="11906" w:h="16838"/>
          <w:pgMar w:top="1985" w:right="1418" w:bottom="1928" w:left="1418" w:header="851" w:footer="992" w:gutter="113"/>
          <w:cols w:space="425" w:num="1"/>
          <w:titlePg/>
          <w:docGrid w:linePitch="312" w:charSpace="0"/>
        </w:sectPr>
      </w:pPr>
      <w:r>
        <w:tab/>
      </w:r>
      <w:bookmarkStart w:id="9" w:name="_Toc499456551"/>
      <w:r>
        <w:rPr>
          <w:rFonts w:hint="eastAsia"/>
        </w:rPr>
        <w:t>企业所得税年度纳税申报表填报表单</w:t>
      </w:r>
      <w:bookmarkEnd w:id="9"/>
    </w:p>
    <w:p>
      <w:pPr>
        <w:pStyle w:val="8"/>
        <w:spacing w:before="240" w:after="360"/>
        <w:rPr>
          <w:color w:val="000000"/>
        </w:rPr>
      </w:pPr>
      <w:bookmarkStart w:id="10" w:name="_Toc499456552"/>
      <w:bookmarkStart w:id="11" w:name="_Toc393471096"/>
      <w:r>
        <w:rPr>
          <w:rFonts w:hint="eastAsia"/>
          <w:color w:val="000000"/>
        </w:rPr>
        <w:t>《企业所得税年度纳税申报表填报表单》填报说明</w:t>
      </w:r>
      <w:bookmarkEnd w:id="10"/>
      <w:bookmarkEnd w:id="11"/>
    </w:p>
    <w:p>
      <w:pPr>
        <w:pStyle w:val="9"/>
        <w:rPr>
          <w:color w:val="000000"/>
        </w:rPr>
      </w:pPr>
      <w:bookmarkStart w:id="12" w:name="_Toc393471097"/>
      <w:r>
        <w:rPr>
          <w:rFonts w:hint="eastAsia"/>
          <w:color w:val="000000"/>
        </w:rPr>
        <w:t>本表列示</w:t>
      </w:r>
      <w:bookmarkEnd w:id="12"/>
      <w:r>
        <w:rPr>
          <w:rFonts w:hint="eastAsia"/>
          <w:color w:val="000000"/>
        </w:rPr>
        <w:t>申报表全部表单名称及编号。纳税人在填报申报表之前，请仔细阅读这些表单，并根据企业的涉税业务，选择“填报”或“不填报”。选择“填报”的，需完成该表格相关内容的填报；选择“不填报”的，可以不填报该表格。对选择“不填报”的表格，可以不向税务机关报送。有关</w:t>
      </w:r>
      <w:bookmarkStart w:id="13" w:name="_Toc393471099"/>
      <w:r>
        <w:rPr>
          <w:rFonts w:hint="eastAsia"/>
          <w:color w:val="000000"/>
        </w:rPr>
        <w:t>项目填报说明</w:t>
      </w:r>
      <w:bookmarkEnd w:id="13"/>
      <w:r>
        <w:rPr>
          <w:rFonts w:hint="eastAsia"/>
          <w:color w:val="000000"/>
        </w:rPr>
        <w:t>如下：</w:t>
      </w:r>
    </w:p>
    <w:p>
      <w:pPr>
        <w:pStyle w:val="9"/>
      </w:pPr>
      <w:r>
        <w:rPr>
          <w:rFonts w:hint="eastAsia"/>
        </w:rPr>
        <w:t>1.《企业基础信息表》（</w:t>
      </w:r>
      <w:r>
        <w:t>A000000</w:t>
      </w:r>
      <w:r>
        <w:rPr>
          <w:rFonts w:hint="eastAsia"/>
        </w:rPr>
        <w:t>）</w:t>
      </w:r>
    </w:p>
    <w:p>
      <w:pPr>
        <w:pStyle w:val="9"/>
      </w:pPr>
      <w:r>
        <w:rPr>
          <w:rFonts w:hint="eastAsia"/>
        </w:rPr>
        <w:t>本表为必填表。主要反映纳税人的基本信息，包括纳税人基本信息、重组事项、企业主要股东及分红情况等。纳税人填报申报表时，首先填报此表，为后续申报提供指引。</w:t>
      </w:r>
    </w:p>
    <w:p>
      <w:pPr>
        <w:pStyle w:val="9"/>
      </w:pPr>
      <w:r>
        <w:rPr>
          <w:rFonts w:hint="eastAsia"/>
        </w:rPr>
        <w:t>2.《中华人民共和国企业所得税年度纳税申报表（</w:t>
      </w:r>
      <w:r>
        <w:t>A</w:t>
      </w:r>
      <w:r>
        <w:rPr>
          <w:rFonts w:hint="eastAsia"/>
        </w:rPr>
        <w:t>类）》（</w:t>
      </w:r>
      <w:r>
        <w:t>A10000</w:t>
      </w:r>
      <w:r>
        <w:rPr>
          <w:rFonts w:hint="eastAsia"/>
        </w:rPr>
        <w:t>0）</w:t>
      </w:r>
    </w:p>
    <w:p>
      <w:pPr>
        <w:pStyle w:val="9"/>
      </w:pPr>
      <w:r>
        <w:rPr>
          <w:rFonts w:hint="eastAsia"/>
        </w:rPr>
        <w:t>本表为必填表。是纳税人计算申报缴纳企业所得税的主表。</w:t>
      </w:r>
    </w:p>
    <w:p>
      <w:pPr>
        <w:pStyle w:val="9"/>
      </w:pPr>
      <w:r>
        <w:rPr>
          <w:rFonts w:hint="eastAsia"/>
        </w:rPr>
        <w:t>3.《一般企业收入明细表》（</w:t>
      </w:r>
      <w:r>
        <w:t>A10101</w:t>
      </w:r>
      <w:r>
        <w:rPr>
          <w:rFonts w:hint="eastAsia"/>
        </w:rPr>
        <w:t>0）</w:t>
      </w:r>
    </w:p>
    <w:p>
      <w:pPr>
        <w:pStyle w:val="9"/>
      </w:pPr>
      <w:r>
        <w:rPr>
          <w:rFonts w:hint="eastAsia"/>
        </w:rPr>
        <w:t>本表适用于除金融企业、事业单位和民间非营利组织外的纳税人填报，反映一般企业按照国家统一会计制度规定取得收入情况。</w:t>
      </w:r>
    </w:p>
    <w:p>
      <w:pPr>
        <w:pStyle w:val="9"/>
      </w:pPr>
      <w:r>
        <w:rPr>
          <w:rFonts w:hint="eastAsia"/>
        </w:rPr>
        <w:t>4.《金融企业收入明细表》（A101020）</w:t>
      </w:r>
    </w:p>
    <w:p>
      <w:pPr>
        <w:pStyle w:val="9"/>
      </w:pPr>
      <w:r>
        <w:rPr>
          <w:rFonts w:hint="eastAsia"/>
        </w:rPr>
        <w:t>本表仅适用于金融企业（包括银行、信用社、保险公司、证券公司等金融企业）填报，反映金融企业按照企业会计准则规定取得收入情况。</w:t>
      </w:r>
    </w:p>
    <w:p>
      <w:pPr>
        <w:pStyle w:val="9"/>
      </w:pPr>
      <w:r>
        <w:rPr>
          <w:rFonts w:hint="eastAsia"/>
        </w:rPr>
        <w:t>5.《一般企业成本支出明细表》（A102010）</w:t>
      </w:r>
    </w:p>
    <w:p>
      <w:pPr>
        <w:pStyle w:val="9"/>
      </w:pPr>
      <w:r>
        <w:rPr>
          <w:rFonts w:hint="eastAsia"/>
        </w:rPr>
        <w:t>本表适用于除金融企业、事业单位和民间非营利组织外的纳税人填报，反映一般企业按照国家统一会计制度的规定发生成本支出情况。</w:t>
      </w:r>
    </w:p>
    <w:p>
      <w:pPr>
        <w:pStyle w:val="9"/>
      </w:pPr>
      <w:r>
        <w:rPr>
          <w:rFonts w:hint="eastAsia"/>
        </w:rPr>
        <w:t>6.《金融企业支出明细表》（A102020）</w:t>
      </w:r>
    </w:p>
    <w:p>
      <w:pPr>
        <w:pStyle w:val="9"/>
      </w:pPr>
      <w:r>
        <w:rPr>
          <w:rFonts w:hint="eastAsia"/>
        </w:rPr>
        <w:t>本表仅适用于金融企业（包括银行、信用社、保险公司、证券公司等金融企业）填报，反映金融企业按照企业会计准则规定发生支出情况。</w:t>
      </w:r>
    </w:p>
    <w:p>
      <w:pPr>
        <w:pStyle w:val="9"/>
      </w:pPr>
      <w:r>
        <w:rPr>
          <w:rFonts w:hint="eastAsia"/>
        </w:rPr>
        <w:t>7.《事业单位、民间非营利组织收入、支出明细表》（A103000）</w:t>
      </w:r>
    </w:p>
    <w:p>
      <w:pPr>
        <w:pStyle w:val="9"/>
      </w:pPr>
      <w:r>
        <w:rPr>
          <w:rFonts w:hint="eastAsia"/>
        </w:rPr>
        <w:t>本表适用于事业单位和民间非营利组织填报，反映事业单位、社会团体、民办非企业单位、非营利性组织等按照有关会计制度规定取得收入，发生支出、费用情况。</w:t>
      </w:r>
    </w:p>
    <w:p>
      <w:pPr>
        <w:pStyle w:val="9"/>
      </w:pPr>
      <w:r>
        <w:rPr>
          <w:rFonts w:hint="eastAsia"/>
        </w:rPr>
        <w:t>8.《期间费用明细表》（A104000）</w:t>
      </w:r>
    </w:p>
    <w:p>
      <w:pPr>
        <w:pStyle w:val="9"/>
      </w:pPr>
      <w:r>
        <w:rPr>
          <w:rFonts w:hint="eastAsia"/>
        </w:rPr>
        <w:t>本表适用于除事业单位和民间非营利组织外的纳税人填报。纳税人根据国家统一会计制度规定，填报期间费用明细项目。</w:t>
      </w:r>
    </w:p>
    <w:p>
      <w:pPr>
        <w:pStyle w:val="9"/>
      </w:pPr>
      <w:r>
        <w:rPr>
          <w:rFonts w:hint="eastAsia"/>
        </w:rPr>
        <w:t>9.《纳税调整项目明细表》（A105000）</w:t>
      </w:r>
    </w:p>
    <w:p>
      <w:pPr>
        <w:pStyle w:val="9"/>
      </w:pPr>
      <w:r>
        <w:rPr>
          <w:rFonts w:hint="eastAsia"/>
        </w:rPr>
        <w:t>本表填报纳税人财务、会计处理办法（以下简称“会计处理”）与税收法律、行政法规的规定（以下简称“税收规定”）不一致，需要进行纳税调整的项目和金额。</w:t>
      </w:r>
    </w:p>
    <w:p>
      <w:pPr>
        <w:pStyle w:val="9"/>
      </w:pPr>
      <w:r>
        <w:rPr>
          <w:rFonts w:hint="eastAsia"/>
        </w:rPr>
        <w:t>10.《视同销售和房地产开发企业特定业务纳税调整明细表》（A105010）</w:t>
      </w:r>
    </w:p>
    <w:p>
      <w:pPr>
        <w:pStyle w:val="9"/>
      </w:pPr>
      <w:r>
        <w:rPr>
          <w:rFonts w:hint="eastAsia"/>
        </w:rPr>
        <w:t>本表填报纳税人发生视同销售行为、房地产开发企业销售未完工产品、未完工产品转完工产品，会计处理与税收规定不一致，需要进行纳税调整的项目和金额。</w:t>
      </w:r>
    </w:p>
    <w:p>
      <w:pPr>
        <w:pStyle w:val="9"/>
      </w:pPr>
      <w:r>
        <w:rPr>
          <w:rFonts w:hint="eastAsia"/>
        </w:rPr>
        <w:t>11.《未按权责发生制确认收入纳税调整明细表》（A105020）</w:t>
      </w:r>
    </w:p>
    <w:p>
      <w:pPr>
        <w:pStyle w:val="9"/>
      </w:pPr>
      <w:r>
        <w:rPr>
          <w:rFonts w:hint="eastAsia"/>
        </w:rPr>
        <w:t>本表填报纳税人会计处理按照权责发生制确认收入，而税收规定不按照权责发生制确认收入，需要进行纳税调整的项目和金额。</w:t>
      </w:r>
    </w:p>
    <w:p>
      <w:pPr>
        <w:pStyle w:val="9"/>
      </w:pPr>
      <w:r>
        <w:rPr>
          <w:rFonts w:hint="eastAsia"/>
        </w:rPr>
        <w:t>12.《投资收益纳税调整明细表》（A105030）</w:t>
      </w:r>
    </w:p>
    <w:p>
      <w:pPr>
        <w:pStyle w:val="9"/>
      </w:pPr>
      <w:r>
        <w:rPr>
          <w:rFonts w:hint="eastAsia"/>
        </w:rPr>
        <w:t>本表填报纳税人发生投资收益，由于会计处理与税收规定不一致，需要进行纳税调整的项目和金额。</w:t>
      </w:r>
    </w:p>
    <w:p>
      <w:pPr>
        <w:pStyle w:val="9"/>
      </w:pPr>
      <w:r>
        <w:rPr>
          <w:rFonts w:hint="eastAsia"/>
        </w:rPr>
        <w:t>13.《专项用途财政性资金纳税调整明细表》（A105040）</w:t>
      </w:r>
    </w:p>
    <w:p>
      <w:pPr>
        <w:pStyle w:val="9"/>
      </w:pPr>
      <w:r>
        <w:rPr>
          <w:rFonts w:hint="eastAsia"/>
        </w:rPr>
        <w:t>本表填报纳税人取得符合不征税收入条件的专项用途财政性资金，由于会计处理与税收规定不一致，需要进行纳税调整的金额。</w:t>
      </w:r>
    </w:p>
    <w:p>
      <w:pPr>
        <w:pStyle w:val="9"/>
      </w:pPr>
      <w:r>
        <w:rPr>
          <w:rFonts w:hint="eastAsia"/>
        </w:rPr>
        <w:t>14.《职工薪酬支出及纳税调整明细表》（</w:t>
      </w:r>
      <w:r>
        <w:t>A1</w:t>
      </w:r>
      <w:r>
        <w:rPr>
          <w:rFonts w:hint="eastAsia"/>
        </w:rPr>
        <w:t>05</w:t>
      </w:r>
      <w:r>
        <w:t>0</w:t>
      </w:r>
      <w:r>
        <w:rPr>
          <w:rFonts w:hint="eastAsia"/>
        </w:rPr>
        <w:t>50）</w:t>
      </w:r>
    </w:p>
    <w:p>
      <w:pPr>
        <w:pStyle w:val="9"/>
      </w:pPr>
      <w:r>
        <w:rPr>
          <w:rFonts w:hint="eastAsia"/>
        </w:rPr>
        <w:t>本表填报纳税人发生的职工薪酬（包括工资薪金、职工福利费、职工教育经费、工会经费、各类基本社会保障性缴款、住房公积金、补充养老保险、补充医疗保险等支出）情况，以及由于会计处理与税收规定不一致，需要进行纳税调整的项目和金额。纳税人只要发生职工薪酬支出，均需填报本表。</w:t>
      </w:r>
    </w:p>
    <w:p>
      <w:pPr>
        <w:pStyle w:val="9"/>
      </w:pPr>
      <w:r>
        <w:rPr>
          <w:rFonts w:hint="eastAsia"/>
        </w:rPr>
        <w:t>15.《广告费和业务宣传费跨年度纳税调整明细表》（</w:t>
      </w:r>
      <w:r>
        <w:t>A10</w:t>
      </w:r>
      <w:r>
        <w:rPr>
          <w:rFonts w:hint="eastAsia"/>
        </w:rPr>
        <w:t>5060）</w:t>
      </w:r>
    </w:p>
    <w:p>
      <w:pPr>
        <w:pStyle w:val="9"/>
      </w:pPr>
      <w:r>
        <w:rPr>
          <w:rFonts w:hint="eastAsia"/>
        </w:rPr>
        <w:t>本表填报纳税人发生的广告费和业务宣传费支出，会计处理与税收规定不一致，需要进行纳税调整的金额。纳税人发生以前年度广告费和业务宣传费未扣除完毕的，也应填报以前年度累计结转情况。</w:t>
      </w:r>
    </w:p>
    <w:p>
      <w:pPr>
        <w:pStyle w:val="9"/>
      </w:pPr>
      <w:r>
        <w:rPr>
          <w:rFonts w:hint="eastAsia"/>
        </w:rPr>
        <w:t>16.《捐赠支出及纳税调整明细表》（</w:t>
      </w:r>
      <w:r>
        <w:t>A10</w:t>
      </w:r>
      <w:r>
        <w:rPr>
          <w:rFonts w:hint="eastAsia"/>
        </w:rPr>
        <w:t>5</w:t>
      </w:r>
      <w:r>
        <w:t>0</w:t>
      </w:r>
      <w:r>
        <w:rPr>
          <w:rFonts w:hint="eastAsia"/>
        </w:rPr>
        <w:t>70）</w:t>
      </w:r>
    </w:p>
    <w:p>
      <w:pPr>
        <w:pStyle w:val="9"/>
      </w:pPr>
      <w:r>
        <w:rPr>
          <w:rFonts w:hint="eastAsia"/>
        </w:rPr>
        <w:t>本表填报纳税人发生捐赠支出的情况，以及由于会计处理与税收规定不一致，需要进行纳税调整的项目和金额。纳税人发生以前年度捐赠支出未扣除完毕的，也应填报以前年度累计结转情况。</w:t>
      </w:r>
    </w:p>
    <w:p>
      <w:pPr>
        <w:pStyle w:val="9"/>
      </w:pPr>
      <w:r>
        <w:rPr>
          <w:rFonts w:hint="eastAsia"/>
        </w:rPr>
        <w:t>17.《资产折旧、摊销及纳税调整明细表》（A105080）</w:t>
      </w:r>
    </w:p>
    <w:p>
      <w:pPr>
        <w:pStyle w:val="9"/>
      </w:pPr>
      <w:r>
        <w:rPr>
          <w:rFonts w:hint="eastAsia"/>
        </w:rPr>
        <w:t>本表填报纳税人资产折旧、摊销情况，以及由于会计处理与税收规定不一致，需要进行纳税调整的项目和金额。</w:t>
      </w:r>
    </w:p>
    <w:p>
      <w:pPr>
        <w:pStyle w:val="9"/>
      </w:pPr>
      <w:r>
        <w:rPr>
          <w:rFonts w:hint="eastAsia"/>
        </w:rPr>
        <w:t>1</w:t>
      </w:r>
      <w:r>
        <w:t>8</w:t>
      </w:r>
      <w:r>
        <w:rPr>
          <w:rFonts w:hint="eastAsia"/>
        </w:rPr>
        <w:t>.《资产损失税前扣除及纳税调整明细表》（A105090）</w:t>
      </w:r>
    </w:p>
    <w:p>
      <w:pPr>
        <w:pStyle w:val="9"/>
      </w:pPr>
      <w:r>
        <w:rPr>
          <w:rFonts w:hint="eastAsia"/>
        </w:rPr>
        <w:t>本表填报纳税人发生的资产损失的项目及金额，以及由于会计处理与税收规定不一致，需要进行纳税调整的项目和金额。</w:t>
      </w:r>
    </w:p>
    <w:p>
      <w:pPr>
        <w:pStyle w:val="9"/>
      </w:pPr>
      <w:r>
        <w:t>19</w:t>
      </w:r>
      <w:r>
        <w:rPr>
          <w:rFonts w:hint="eastAsia"/>
        </w:rPr>
        <w:t>.《企业重组及递延纳税事项纳税调整明细表》（A105100）</w:t>
      </w:r>
    </w:p>
    <w:p>
      <w:pPr>
        <w:pStyle w:val="9"/>
      </w:pPr>
      <w:r>
        <w:rPr>
          <w:rFonts w:hint="eastAsia"/>
        </w:rPr>
        <w:t>本表填报纳税人发生企业重组、非货币性资产对外投资、技术入股等业务所涉及的所得或损失情况，以及由于会计处理与税收规定不一致，需要进行纳税调整的项目和金额。</w:t>
      </w:r>
    </w:p>
    <w:p>
      <w:pPr>
        <w:pStyle w:val="9"/>
      </w:pPr>
      <w:r>
        <w:t>20</w:t>
      </w:r>
      <w:r>
        <w:rPr>
          <w:rFonts w:hint="eastAsia"/>
        </w:rPr>
        <w:t>.《政策性搬迁纳税调整明细表》（A105110）</w:t>
      </w:r>
    </w:p>
    <w:p>
      <w:pPr>
        <w:pStyle w:val="9"/>
      </w:pPr>
      <w:r>
        <w:rPr>
          <w:rFonts w:hint="eastAsia"/>
        </w:rPr>
        <w:t>本表填报纳税人发生政策性搬迁所涉及的所得或损失，由于会计处理与税收规定不一致，需要进行纳税调整的项目和金额。</w:t>
      </w:r>
    </w:p>
    <w:p>
      <w:pPr>
        <w:pStyle w:val="9"/>
      </w:pPr>
      <w:r>
        <w:t>21</w:t>
      </w:r>
      <w:r>
        <w:rPr>
          <w:rFonts w:hint="eastAsia"/>
        </w:rPr>
        <w:t>.《特殊行业准备金及纳税调整明细表》（A105120）</w:t>
      </w:r>
    </w:p>
    <w:p>
      <w:pPr>
        <w:pStyle w:val="9"/>
      </w:pPr>
      <w:r>
        <w:rPr>
          <w:rFonts w:hint="eastAsia"/>
        </w:rPr>
        <w:t>本表填报保险、证券、期货、金融、担保、小额贷款公司等特殊行业纳税人发生特殊行业准备金情况，以及由于会计处理与税收规定不一致，需要进行纳税调整的项目和金额。</w:t>
      </w:r>
    </w:p>
    <w:p>
      <w:pPr>
        <w:pStyle w:val="9"/>
      </w:pPr>
      <w:r>
        <w:t>22</w:t>
      </w:r>
      <w:r>
        <w:rPr>
          <w:rFonts w:hint="eastAsia"/>
        </w:rPr>
        <w:t>.《企业所得税弥补亏损明细表》（A106000）</w:t>
      </w:r>
    </w:p>
    <w:p>
      <w:pPr>
        <w:pStyle w:val="9"/>
      </w:pPr>
      <w:r>
        <w:rPr>
          <w:rFonts w:hint="eastAsia"/>
        </w:rPr>
        <w:t>本表填报纳税人以前年度发生的亏损需要在本年度结转弥补的金额，本年度可弥补的金额以及可继续结转以后年度弥补的亏损额。</w:t>
      </w:r>
    </w:p>
    <w:p>
      <w:pPr>
        <w:pStyle w:val="9"/>
      </w:pPr>
      <w:r>
        <w:t>23</w:t>
      </w:r>
      <w:r>
        <w:rPr>
          <w:rFonts w:hint="eastAsia"/>
        </w:rPr>
        <w:t>.《免税、减计收入及加计扣除优惠明细表》（A107010）</w:t>
      </w:r>
    </w:p>
    <w:p>
      <w:pPr>
        <w:pStyle w:val="9"/>
      </w:pPr>
      <w:r>
        <w:rPr>
          <w:rFonts w:hint="eastAsia"/>
        </w:rPr>
        <w:t>本表填报纳税人本年度所享受免税收入、减计收入、加计扣除等优惠的项目和金额。</w:t>
      </w:r>
    </w:p>
    <w:p>
      <w:pPr>
        <w:pStyle w:val="9"/>
      </w:pPr>
      <w:r>
        <w:rPr>
          <w:rFonts w:hint="eastAsia"/>
        </w:rPr>
        <w:t>2</w:t>
      </w:r>
      <w:r>
        <w:t>4</w:t>
      </w:r>
      <w:r>
        <w:rPr>
          <w:rFonts w:hint="eastAsia"/>
        </w:rPr>
        <w:t>.《符合条件的居民企业之间的股息、红利等权益性投资收益优惠明细表》（</w:t>
      </w:r>
      <w:r>
        <w:t>A10</w:t>
      </w:r>
      <w:r>
        <w:rPr>
          <w:rFonts w:hint="eastAsia"/>
        </w:rPr>
        <w:t>7</w:t>
      </w:r>
      <w:r>
        <w:t>01</w:t>
      </w:r>
      <w:r>
        <w:rPr>
          <w:rFonts w:hint="eastAsia"/>
        </w:rPr>
        <w:t>1）</w:t>
      </w:r>
    </w:p>
    <w:p>
      <w:pPr>
        <w:pStyle w:val="9"/>
      </w:pPr>
      <w:r>
        <w:rPr>
          <w:rFonts w:hint="eastAsia"/>
        </w:rPr>
        <w:t>本表填报纳税人本年度享受居民企业之间的股息、红利等权益性投资收益免税优惠的项目和金额。</w:t>
      </w:r>
    </w:p>
    <w:p>
      <w:pPr>
        <w:pStyle w:val="9"/>
      </w:pPr>
      <w:r>
        <w:t>25</w:t>
      </w:r>
      <w:r>
        <w:rPr>
          <w:rFonts w:hint="eastAsia"/>
        </w:rPr>
        <w:t>.《研发费用加计扣除优惠明细表》（</w:t>
      </w:r>
      <w:r>
        <w:t>A10</w:t>
      </w:r>
      <w:r>
        <w:rPr>
          <w:rFonts w:hint="eastAsia"/>
        </w:rPr>
        <w:t>7</w:t>
      </w:r>
      <w:r>
        <w:t>012</w:t>
      </w:r>
      <w:r>
        <w:rPr>
          <w:rFonts w:hint="eastAsia"/>
        </w:rPr>
        <w:t>）</w:t>
      </w:r>
    </w:p>
    <w:p>
      <w:pPr>
        <w:pStyle w:val="9"/>
      </w:pPr>
      <w:r>
        <w:rPr>
          <w:rFonts w:hint="eastAsia"/>
        </w:rPr>
        <w:t>本表填报纳税人享受研发费用加计扣除优惠的情况和金额。纳税人以前年度有销售研发活动直接形成产品（包括组成部分）对应材料部分未扣减完毕的，也应填报以前年度未扣减情况。</w:t>
      </w:r>
    </w:p>
    <w:p>
      <w:pPr>
        <w:pStyle w:val="9"/>
      </w:pPr>
      <w:r>
        <w:t>26</w:t>
      </w:r>
      <w:r>
        <w:rPr>
          <w:rFonts w:hint="eastAsia"/>
        </w:rPr>
        <w:t>.《</w:t>
      </w:r>
      <w:r>
        <w:t>所得减免优惠明细表</w:t>
      </w:r>
      <w:r>
        <w:rPr>
          <w:rFonts w:hint="eastAsia"/>
        </w:rPr>
        <w:t>》（A107020）</w:t>
      </w:r>
    </w:p>
    <w:p>
      <w:pPr>
        <w:pStyle w:val="9"/>
      </w:pPr>
      <w:r>
        <w:rPr>
          <w:rFonts w:hint="eastAsia"/>
        </w:rPr>
        <w:t>本表填报纳税人本年度享受减免所得额（包括农、林、牧、渔项目和国家重点扶持的公共基础设施项目、环境保护、节能节水项目以及符合条件的技术转让项目等）优惠的项目和金额。</w:t>
      </w:r>
    </w:p>
    <w:p>
      <w:pPr>
        <w:pStyle w:val="9"/>
      </w:pPr>
      <w:r>
        <w:t>27</w:t>
      </w:r>
      <w:r>
        <w:rPr>
          <w:rFonts w:hint="eastAsia"/>
        </w:rPr>
        <w:t>.《抵扣应纳税所得额明细表》（A107030）</w:t>
      </w:r>
    </w:p>
    <w:p>
      <w:pPr>
        <w:pStyle w:val="9"/>
      </w:pPr>
      <w:r>
        <w:rPr>
          <w:rFonts w:hint="eastAsia"/>
        </w:rPr>
        <w:t>本表填报纳税人本年度享受创业投资企业抵扣应纳税所得额优惠的情况和金额。纳税人有以前年度结转的尚未抵扣的股权投资余额的，也应填报以前年度累计结转情况。</w:t>
      </w:r>
    </w:p>
    <w:p>
      <w:pPr>
        <w:pStyle w:val="9"/>
      </w:pPr>
      <w:r>
        <w:t>28</w:t>
      </w:r>
      <w:r>
        <w:rPr>
          <w:rFonts w:hint="eastAsia"/>
        </w:rPr>
        <w:t>.《减免所得税优惠明细表》（A107040）</w:t>
      </w:r>
    </w:p>
    <w:p>
      <w:pPr>
        <w:pStyle w:val="9"/>
      </w:pPr>
      <w:r>
        <w:rPr>
          <w:rFonts w:hint="eastAsia"/>
        </w:rPr>
        <w:t>本表填报纳税人本年度享受减免所得税（包括小型微利企业、高新技术企业、民族自治地方企业、其他专项优惠等）的项目和金额。</w:t>
      </w:r>
    </w:p>
    <w:p>
      <w:pPr>
        <w:pStyle w:val="9"/>
      </w:pPr>
      <w:r>
        <w:t>29</w:t>
      </w:r>
      <w:r>
        <w:rPr>
          <w:rFonts w:hint="eastAsia"/>
        </w:rPr>
        <w:t>.《高新技术企业优惠情况及明细表》（A107041）</w:t>
      </w:r>
    </w:p>
    <w:p>
      <w:pPr>
        <w:pStyle w:val="9"/>
      </w:pPr>
      <w:r>
        <w:rPr>
          <w:rFonts w:hint="eastAsia"/>
        </w:rPr>
        <w:t>本表为高新技术企业资格在有效期内纳税人的必填表，填报高新技术企业本年度有关情况和优惠金额。</w:t>
      </w:r>
    </w:p>
    <w:p>
      <w:pPr>
        <w:pStyle w:val="9"/>
      </w:pPr>
      <w:r>
        <w:t>30</w:t>
      </w:r>
      <w:r>
        <w:rPr>
          <w:rFonts w:hint="eastAsia"/>
        </w:rPr>
        <w:t>.《软件、集成电路企业优惠情况及明细表》（A107042）</w:t>
      </w:r>
    </w:p>
    <w:p>
      <w:pPr>
        <w:pStyle w:val="9"/>
      </w:pPr>
      <w:r>
        <w:rPr>
          <w:rFonts w:hint="eastAsia"/>
        </w:rPr>
        <w:t>本表填报纳税人本年度享受软件、集成电路企业优惠的有关情况和优惠金额。</w:t>
      </w:r>
    </w:p>
    <w:p>
      <w:pPr>
        <w:pStyle w:val="9"/>
      </w:pPr>
      <w:r>
        <w:t>31</w:t>
      </w:r>
      <w:r>
        <w:rPr>
          <w:rFonts w:hint="eastAsia"/>
        </w:rPr>
        <w:t>.《税额抵免优惠明细表》（A107050）</w:t>
      </w:r>
    </w:p>
    <w:p>
      <w:pPr>
        <w:pStyle w:val="9"/>
      </w:pPr>
      <w:r>
        <w:rPr>
          <w:rFonts w:hint="eastAsia"/>
        </w:rPr>
        <w:t>本表填报纳税人享受购买专用设备投资额抵免税额情况和金额。纳税人有以前年度结转的尚未抵免的专用设备投资额的，也应填报以前年度已抵免情况。</w:t>
      </w:r>
    </w:p>
    <w:p>
      <w:pPr>
        <w:pStyle w:val="9"/>
      </w:pPr>
      <w:r>
        <w:t>32.</w:t>
      </w:r>
      <w:r>
        <w:rPr>
          <w:rFonts w:hint="eastAsia"/>
        </w:rPr>
        <w:t>《境外所得税收抵免明细表》（A108000）</w:t>
      </w:r>
    </w:p>
    <w:p>
      <w:pPr>
        <w:pStyle w:val="9"/>
      </w:pPr>
      <w:r>
        <w:rPr>
          <w:rFonts w:hint="eastAsia"/>
        </w:rPr>
        <w:t>本表填报纳税人本年度来源于或发生于不同国家、地区的所得，按照我国税收规定计算应缴纳和应抵免的企业所得税额。</w:t>
      </w:r>
    </w:p>
    <w:p>
      <w:pPr>
        <w:pStyle w:val="9"/>
      </w:pPr>
      <w:r>
        <w:t>33</w:t>
      </w:r>
      <w:r>
        <w:rPr>
          <w:rFonts w:hint="eastAsia"/>
        </w:rPr>
        <w:t>.《境外所得纳税调整后所得明细表》（A108010）</w:t>
      </w:r>
    </w:p>
    <w:p>
      <w:pPr>
        <w:pStyle w:val="9"/>
      </w:pPr>
      <w:r>
        <w:rPr>
          <w:rFonts w:hint="eastAsia"/>
        </w:rPr>
        <w:t>本表填报纳税人本年度来源于或发生于不同国家、地区的所得，按照我国税收规定计算调整后的所得。</w:t>
      </w:r>
    </w:p>
    <w:p>
      <w:pPr>
        <w:pStyle w:val="9"/>
      </w:pPr>
      <w:r>
        <w:t>34</w:t>
      </w:r>
      <w:r>
        <w:rPr>
          <w:rFonts w:hint="eastAsia"/>
        </w:rPr>
        <w:t>.《境外分支机构弥补亏损明细表》（A108020）</w:t>
      </w:r>
    </w:p>
    <w:p>
      <w:pPr>
        <w:pStyle w:val="9"/>
      </w:pPr>
      <w:r>
        <w:rPr>
          <w:rFonts w:hint="eastAsia"/>
        </w:rPr>
        <w:t>本表填报纳税人境外分支机构本年度及以前年度发生的税前尚未弥补的非实际亏损额和实际亏损额、结转以后年度弥补的非实际亏损额和实际亏损额。</w:t>
      </w:r>
    </w:p>
    <w:p>
      <w:pPr>
        <w:pStyle w:val="9"/>
      </w:pPr>
      <w:r>
        <w:t>35</w:t>
      </w:r>
      <w:r>
        <w:rPr>
          <w:rFonts w:hint="eastAsia"/>
        </w:rPr>
        <w:t>.《跨年度结转抵免境外所得税明细表》（A108030）</w:t>
      </w:r>
    </w:p>
    <w:p>
      <w:pPr>
        <w:pStyle w:val="9"/>
      </w:pPr>
      <w:r>
        <w:rPr>
          <w:rFonts w:hint="eastAsia"/>
        </w:rPr>
        <w:t>本表填报纳税人本年度发生的来源于不同国家或地区的境外所得按照我国税收法律、法规的规定可以抵免的所得税额。</w:t>
      </w:r>
    </w:p>
    <w:p>
      <w:pPr>
        <w:pStyle w:val="9"/>
      </w:pPr>
      <w:r>
        <w:t>36</w:t>
      </w:r>
      <w:r>
        <w:rPr>
          <w:rFonts w:hint="eastAsia"/>
        </w:rPr>
        <w:t>.《跨地区经营汇总纳税企业年度分摊企业所得税明细表》（A109000）</w:t>
      </w:r>
    </w:p>
    <w:p>
      <w:pPr>
        <w:pStyle w:val="9"/>
      </w:pPr>
      <w:r>
        <w:rPr>
          <w:rFonts w:hint="eastAsia"/>
        </w:rPr>
        <w:t>本表由跨地区经营汇总纳税企业的总机构按照规定计算的总机构、分支机构本年度应缴的企业所得税，以及总机构、分支机构应分摊的企业所得税。</w:t>
      </w:r>
    </w:p>
    <w:p>
      <w:pPr>
        <w:pStyle w:val="9"/>
      </w:pPr>
      <w:r>
        <w:t>37</w:t>
      </w:r>
      <w:r>
        <w:rPr>
          <w:rFonts w:hint="eastAsia"/>
        </w:rPr>
        <w:t>.《企业所得税汇总纳税分支机构所得税分配表》（A109010）</w:t>
      </w:r>
    </w:p>
    <w:p>
      <w:pPr>
        <w:pStyle w:val="9"/>
        <w:sectPr>
          <w:pgSz w:w="11906" w:h="16838"/>
          <w:pgMar w:top="1985" w:right="1418" w:bottom="1928" w:left="1418" w:header="851" w:footer="992" w:gutter="113"/>
          <w:cols w:space="425" w:num="1"/>
          <w:docGrid w:linePitch="312" w:charSpace="0"/>
        </w:sectPr>
      </w:pPr>
      <w:r>
        <w:rPr>
          <w:rFonts w:hint="eastAsia"/>
        </w:rPr>
        <w:t>本表填报总机构本年度实际应纳所得税额以及所属分支机构本年度应分摊的所得税额。</w:t>
      </w:r>
    </w:p>
    <w:p>
      <w:pPr>
        <w:pStyle w:val="10"/>
      </w:pPr>
      <w:bookmarkStart w:id="14" w:name="_Toc499456553"/>
      <w:r>
        <w:rPr>
          <w:rFonts w:hint="eastAsia"/>
        </w:rPr>
        <w:t>A</w:t>
      </w:r>
      <w:r>
        <w:t>000000</w:t>
      </w:r>
      <w:r>
        <w:tab/>
      </w:r>
      <w:r>
        <w:t>企业基础信息表</w:t>
      </w:r>
      <w:bookmarkEnd w:id="14"/>
    </w:p>
    <w:tbl>
      <w:tblPr>
        <w:tblStyle w:val="7"/>
        <w:tblW w:w="1054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3"/>
        <w:gridCol w:w="567"/>
        <w:gridCol w:w="406"/>
        <w:gridCol w:w="587"/>
        <w:gridCol w:w="708"/>
        <w:gridCol w:w="1267"/>
        <w:gridCol w:w="9"/>
        <w:gridCol w:w="8"/>
        <w:gridCol w:w="246"/>
        <w:gridCol w:w="1002"/>
        <w:gridCol w:w="279"/>
        <w:gridCol w:w="997"/>
        <w:gridCol w:w="762"/>
        <w:gridCol w:w="76"/>
        <w:gridCol w:w="687"/>
        <w:gridCol w:w="313"/>
        <w:gridCol w:w="11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jc w:val="center"/>
        </w:trPr>
        <w:tc>
          <w:tcPr>
            <w:tcW w:w="10547" w:type="dxa"/>
            <w:gridSpan w:val="17"/>
            <w:tcBorders>
              <w:top w:val="single" w:color="auto" w:sz="12" w:space="0"/>
              <w:bottom w:val="single" w:color="auto" w:sz="6" w:space="0"/>
            </w:tcBorders>
            <w:shd w:val="clear" w:color="auto" w:fill="auto"/>
            <w:vAlign w:val="center"/>
          </w:tcPr>
          <w:p>
            <w:pPr>
              <w:widowControl/>
              <w:spacing w:line="240" w:lineRule="atLeast"/>
              <w:jc w:val="center"/>
              <w:rPr>
                <w:rFonts w:ascii="宋体" w:hAnsi="宋体" w:cs="宋体"/>
                <w:b/>
                <w:bCs/>
                <w:kern w:val="0"/>
                <w:sz w:val="20"/>
                <w:szCs w:val="20"/>
              </w:rPr>
            </w:pPr>
            <w:r>
              <w:rPr>
                <w:rFonts w:hint="eastAsia" w:ascii="宋体" w:hAnsi="宋体" w:cs="宋体"/>
                <w:b/>
                <w:bCs/>
                <w:kern w:val="0"/>
                <w:sz w:val="20"/>
                <w:szCs w:val="20"/>
              </w:rPr>
              <w:t>100基本信息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74" w:hRule="atLeast"/>
          <w:jc w:val="center"/>
        </w:trPr>
        <w:tc>
          <w:tcPr>
            <w:tcW w:w="1513" w:type="dxa"/>
            <w:tcBorders>
              <w:top w:val="single" w:color="auto" w:sz="6" w:space="0"/>
              <w:bottom w:val="single" w:color="auto" w:sz="6" w:space="0"/>
            </w:tcBorders>
            <w:shd w:val="clear" w:color="auto" w:fill="auto"/>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101汇总纳税企业</w:t>
            </w:r>
          </w:p>
        </w:tc>
        <w:tc>
          <w:tcPr>
            <w:tcW w:w="9034" w:type="dxa"/>
            <w:gridSpan w:val="16"/>
            <w:tcBorders>
              <w:top w:val="single" w:color="auto" w:sz="6" w:space="0"/>
            </w:tcBorders>
            <w:shd w:val="clear" w:color="auto" w:fill="auto"/>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□总机构（跨省）——适</w:t>
            </w:r>
            <w:bookmarkStart w:id="15" w:name="_Hlk498789983"/>
            <w:r>
              <w:rPr>
                <w:rFonts w:hint="eastAsia" w:ascii="宋体" w:hAnsi="宋体" w:cs="宋体"/>
                <w:kern w:val="0"/>
                <w:sz w:val="20"/>
                <w:szCs w:val="20"/>
              </w:rPr>
              <w:t>用《跨地区经营汇总纳税企业所得税征收管理办法》</w:t>
            </w:r>
            <w:bookmarkEnd w:id="15"/>
          </w:p>
          <w:p>
            <w:pPr>
              <w:widowControl/>
              <w:spacing w:line="240" w:lineRule="atLeast"/>
              <w:jc w:val="left"/>
              <w:rPr>
                <w:rFonts w:ascii="宋体" w:hAnsi="宋体" w:cs="宋体"/>
                <w:kern w:val="0"/>
                <w:sz w:val="20"/>
                <w:szCs w:val="20"/>
              </w:rPr>
            </w:pPr>
            <w:r>
              <w:rPr>
                <w:rFonts w:hint="eastAsia" w:ascii="宋体" w:hAnsi="宋体" w:cs="宋体"/>
                <w:kern w:val="0"/>
                <w:sz w:val="20"/>
                <w:szCs w:val="20"/>
              </w:rPr>
              <w:t>□总机构（跨省）——不适用《跨地区经营汇总纳税企业所得税征收管理办法》</w:t>
            </w:r>
          </w:p>
          <w:p>
            <w:pPr>
              <w:widowControl/>
              <w:spacing w:line="240" w:lineRule="atLeast"/>
              <w:jc w:val="left"/>
              <w:rPr>
                <w:rFonts w:ascii="宋体" w:hAnsi="宋体" w:cs="宋体"/>
                <w:kern w:val="0"/>
                <w:sz w:val="20"/>
                <w:szCs w:val="20"/>
              </w:rPr>
            </w:pPr>
            <w:r>
              <w:rPr>
                <w:rFonts w:hint="eastAsia" w:ascii="宋体" w:hAnsi="宋体" w:cs="宋体"/>
                <w:kern w:val="0"/>
                <w:sz w:val="20"/>
                <w:szCs w:val="20"/>
              </w:rPr>
              <w:t>□总机构（省内）</w:t>
            </w:r>
          </w:p>
          <w:p>
            <w:pPr>
              <w:widowControl/>
              <w:spacing w:line="240" w:lineRule="atLeast"/>
              <w:jc w:val="left"/>
              <w:rPr>
                <w:rFonts w:ascii="宋体" w:hAnsi="宋体" w:cs="宋体"/>
                <w:kern w:val="0"/>
                <w:sz w:val="20"/>
                <w:szCs w:val="20"/>
              </w:rPr>
            </w:pPr>
            <w:r>
              <w:rPr>
                <w:rFonts w:hint="eastAsia" w:ascii="宋体" w:hAnsi="宋体" w:cs="宋体"/>
                <w:kern w:val="0"/>
                <w:sz w:val="20"/>
                <w:szCs w:val="20"/>
              </w:rPr>
              <w:t>□分支机构（须进行完整年度纳税申报且按比例纳税）——就地缴纳比例=     %</w:t>
            </w:r>
          </w:p>
          <w:p>
            <w:pPr>
              <w:widowControl/>
              <w:spacing w:line="240" w:lineRule="atLeast"/>
              <w:jc w:val="left"/>
              <w:rPr>
                <w:rFonts w:ascii="宋体" w:hAnsi="宋体" w:cs="宋体"/>
                <w:kern w:val="0"/>
                <w:sz w:val="20"/>
                <w:szCs w:val="20"/>
              </w:rPr>
            </w:pPr>
            <w:r>
              <w:rPr>
                <w:rFonts w:hint="eastAsia" w:ascii="宋体" w:hAnsi="宋体" w:cs="宋体"/>
                <w:kern w:val="0"/>
                <w:sz w:val="20"/>
                <w:szCs w:val="20"/>
              </w:rPr>
              <w:t>□分支机构（须进行完整年度纳税申报但不就地缴纳）</w:t>
            </w:r>
          </w:p>
          <w:p>
            <w:pPr>
              <w:widowControl/>
              <w:spacing w:line="240" w:lineRule="atLeast"/>
              <w:jc w:val="left"/>
              <w:rPr>
                <w:rFonts w:ascii="宋体" w:hAnsi="宋体" w:cs="宋体"/>
                <w:kern w:val="0"/>
                <w:sz w:val="20"/>
                <w:szCs w:val="20"/>
              </w:rPr>
            </w:pPr>
            <w:r>
              <w:rPr>
                <w:rFonts w:hint="eastAsia" w:ascii="宋体" w:hAnsi="宋体" w:cs="宋体"/>
                <w:kern w:val="0"/>
                <w:sz w:val="20"/>
                <w:szCs w:val="20"/>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486" w:type="dxa"/>
            <w:gridSpan w:val="3"/>
            <w:tcBorders>
              <w:top w:val="single" w:color="auto" w:sz="6" w:space="0"/>
              <w:bottom w:val="single" w:color="auto" w:sz="6" w:space="0"/>
            </w:tcBorders>
            <w:shd w:val="clear" w:color="auto" w:fill="auto"/>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102所属行业明细代码</w:t>
            </w:r>
          </w:p>
        </w:tc>
        <w:tc>
          <w:tcPr>
            <w:tcW w:w="2825" w:type="dxa"/>
            <w:gridSpan w:val="6"/>
            <w:tcBorders>
              <w:top w:val="single" w:color="auto" w:sz="6" w:space="0"/>
              <w:bottom w:val="single" w:color="auto" w:sz="6"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　</w:t>
            </w:r>
          </w:p>
        </w:tc>
        <w:tc>
          <w:tcPr>
            <w:tcW w:w="3116" w:type="dxa"/>
            <w:gridSpan w:val="5"/>
            <w:tcBorders>
              <w:top w:val="single" w:color="auto" w:sz="6" w:space="0"/>
              <w:bottom w:val="single" w:color="auto" w:sz="6" w:space="0"/>
            </w:tcBorders>
            <w:shd w:val="clear" w:color="auto" w:fill="auto"/>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103资产总额（万元）</w:t>
            </w:r>
          </w:p>
        </w:tc>
        <w:tc>
          <w:tcPr>
            <w:tcW w:w="2120" w:type="dxa"/>
            <w:gridSpan w:val="3"/>
            <w:tcBorders>
              <w:top w:val="single" w:color="auto" w:sz="6" w:space="0"/>
              <w:bottom w:val="single" w:color="auto" w:sz="6"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486" w:type="dxa"/>
            <w:gridSpan w:val="3"/>
            <w:tcBorders>
              <w:top w:val="single" w:color="auto" w:sz="6" w:space="0"/>
              <w:bottom w:val="single" w:color="auto" w:sz="6" w:space="0"/>
            </w:tcBorders>
            <w:shd w:val="clear" w:color="auto" w:fill="auto"/>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104从业人数</w:t>
            </w:r>
          </w:p>
        </w:tc>
        <w:tc>
          <w:tcPr>
            <w:tcW w:w="2825" w:type="dxa"/>
            <w:gridSpan w:val="6"/>
            <w:tcBorders>
              <w:top w:val="single" w:color="auto" w:sz="6" w:space="0"/>
              <w:bottom w:val="single" w:color="auto" w:sz="6"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　</w:t>
            </w:r>
          </w:p>
        </w:tc>
        <w:tc>
          <w:tcPr>
            <w:tcW w:w="3116" w:type="dxa"/>
            <w:gridSpan w:val="5"/>
            <w:tcBorders>
              <w:top w:val="single" w:color="auto" w:sz="6" w:space="0"/>
              <w:bottom w:val="single" w:color="auto" w:sz="6" w:space="0"/>
            </w:tcBorders>
            <w:shd w:val="clear" w:color="auto" w:fill="auto"/>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105国家限制或禁止行业</w:t>
            </w:r>
          </w:p>
        </w:tc>
        <w:tc>
          <w:tcPr>
            <w:tcW w:w="2120" w:type="dxa"/>
            <w:gridSpan w:val="3"/>
            <w:tcBorders>
              <w:top w:val="single" w:color="auto" w:sz="6" w:space="0"/>
              <w:bottom w:val="single" w:color="auto" w:sz="6"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 xml:space="preserve">□是 </w:t>
            </w:r>
            <w:r>
              <w:rPr>
                <w:rFonts w:ascii="宋体" w:hAnsi="宋体" w:cs="宋体"/>
                <w:kern w:val="0"/>
                <w:sz w:val="20"/>
                <w:szCs w:val="20"/>
              </w:rPr>
              <w:t xml:space="preserve"> </w:t>
            </w:r>
            <w:r>
              <w:rPr>
                <w:rFonts w:hint="eastAsia" w:ascii="宋体" w:hAnsi="宋体" w:cs="宋体"/>
                <w:kern w:val="0"/>
                <w:sz w:val="20"/>
                <w:szCs w:val="20"/>
              </w:rPr>
              <w:t xml:space="preserve">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486" w:type="dxa"/>
            <w:gridSpan w:val="3"/>
            <w:tcBorders>
              <w:top w:val="single" w:color="auto" w:sz="6" w:space="0"/>
              <w:bottom w:val="single" w:color="auto" w:sz="6" w:space="0"/>
            </w:tcBorders>
            <w:shd w:val="clear" w:color="auto" w:fill="auto"/>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106非营利组织</w:t>
            </w:r>
          </w:p>
        </w:tc>
        <w:tc>
          <w:tcPr>
            <w:tcW w:w="2825" w:type="dxa"/>
            <w:gridSpan w:val="6"/>
            <w:tcBorders>
              <w:top w:val="single" w:color="auto" w:sz="6" w:space="0"/>
              <w:bottom w:val="single" w:color="auto" w:sz="6"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□是    □否</w:t>
            </w:r>
          </w:p>
        </w:tc>
        <w:tc>
          <w:tcPr>
            <w:tcW w:w="3116" w:type="dxa"/>
            <w:gridSpan w:val="5"/>
            <w:tcBorders>
              <w:top w:val="single" w:color="auto" w:sz="6" w:space="0"/>
              <w:bottom w:val="single" w:color="auto" w:sz="6" w:space="0"/>
            </w:tcBorders>
            <w:shd w:val="clear" w:color="auto" w:fill="auto"/>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107存在境外关联交易</w:t>
            </w:r>
          </w:p>
        </w:tc>
        <w:tc>
          <w:tcPr>
            <w:tcW w:w="2120" w:type="dxa"/>
            <w:gridSpan w:val="3"/>
            <w:tcBorders>
              <w:top w:val="single" w:color="auto" w:sz="6" w:space="0"/>
              <w:bottom w:val="single" w:color="auto" w:sz="6"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 xml:space="preserve">□是 </w:t>
            </w:r>
            <w:r>
              <w:rPr>
                <w:rFonts w:ascii="宋体" w:hAnsi="宋体" w:cs="宋体"/>
                <w:kern w:val="0"/>
                <w:sz w:val="20"/>
                <w:szCs w:val="20"/>
              </w:rPr>
              <w:t xml:space="preserve"> </w:t>
            </w:r>
            <w:r>
              <w:rPr>
                <w:rFonts w:hint="eastAsia" w:ascii="宋体" w:hAnsi="宋体" w:cs="宋体"/>
                <w:kern w:val="0"/>
                <w:sz w:val="20"/>
                <w:szCs w:val="20"/>
              </w:rPr>
              <w:t xml:space="preserve">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486" w:type="dxa"/>
            <w:gridSpan w:val="3"/>
            <w:tcBorders>
              <w:top w:val="single" w:color="auto" w:sz="6" w:space="0"/>
              <w:bottom w:val="single" w:color="auto" w:sz="6" w:space="0"/>
            </w:tcBorders>
            <w:shd w:val="clear" w:color="auto" w:fill="auto"/>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108上市公司</w:t>
            </w:r>
          </w:p>
        </w:tc>
        <w:tc>
          <w:tcPr>
            <w:tcW w:w="2825" w:type="dxa"/>
            <w:gridSpan w:val="6"/>
            <w:tcBorders>
              <w:top w:val="single" w:color="auto" w:sz="6" w:space="0"/>
              <w:bottom w:val="single" w:color="auto" w:sz="6"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是（□境内 □境外）□否</w:t>
            </w:r>
          </w:p>
        </w:tc>
        <w:tc>
          <w:tcPr>
            <w:tcW w:w="3116" w:type="dxa"/>
            <w:gridSpan w:val="5"/>
            <w:tcBorders>
              <w:top w:val="single" w:color="auto" w:sz="6" w:space="0"/>
              <w:bottom w:val="single" w:color="auto" w:sz="6" w:space="0"/>
            </w:tcBorders>
            <w:shd w:val="clear" w:color="auto" w:fill="auto"/>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109从事股权投资业务</w:t>
            </w:r>
          </w:p>
        </w:tc>
        <w:tc>
          <w:tcPr>
            <w:tcW w:w="2120" w:type="dxa"/>
            <w:gridSpan w:val="3"/>
            <w:tcBorders>
              <w:top w:val="single" w:color="auto" w:sz="6" w:space="0"/>
              <w:bottom w:val="single" w:color="auto" w:sz="6"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 xml:space="preserve">□是 </w:t>
            </w:r>
            <w:r>
              <w:rPr>
                <w:rFonts w:ascii="宋体" w:hAnsi="宋体" w:cs="宋体"/>
                <w:kern w:val="0"/>
                <w:sz w:val="20"/>
                <w:szCs w:val="20"/>
              </w:rPr>
              <w:t xml:space="preserve"> </w:t>
            </w:r>
            <w:r>
              <w:rPr>
                <w:rFonts w:hint="eastAsia" w:ascii="宋体" w:hAnsi="宋体" w:cs="宋体"/>
                <w:kern w:val="0"/>
                <w:sz w:val="20"/>
                <w:szCs w:val="20"/>
              </w:rPr>
              <w:t xml:space="preserve">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93" w:hRule="atLeast"/>
          <w:jc w:val="center"/>
        </w:trPr>
        <w:tc>
          <w:tcPr>
            <w:tcW w:w="1513" w:type="dxa"/>
            <w:tcBorders>
              <w:top w:val="single" w:color="auto" w:sz="6" w:space="0"/>
              <w:bottom w:val="single" w:color="auto" w:sz="12"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110适用的会计准则或会计制度</w:t>
            </w:r>
          </w:p>
        </w:tc>
        <w:tc>
          <w:tcPr>
            <w:tcW w:w="9034" w:type="dxa"/>
            <w:gridSpan w:val="16"/>
            <w:tcBorders>
              <w:top w:val="single" w:color="auto" w:sz="6" w:space="0"/>
              <w:bottom w:val="single" w:color="auto" w:sz="12" w:space="0"/>
            </w:tcBorders>
            <w:shd w:val="clear" w:color="auto" w:fill="auto"/>
            <w:vAlign w:val="center"/>
          </w:tcPr>
          <w:p>
            <w:pPr>
              <w:widowControl/>
              <w:spacing w:line="240" w:lineRule="atLeast"/>
              <w:rPr>
                <w:rFonts w:ascii="宋体" w:hAnsi="宋体" w:cs="宋体"/>
                <w:kern w:val="0"/>
                <w:sz w:val="20"/>
                <w:szCs w:val="20"/>
              </w:rPr>
            </w:pPr>
            <w:r>
              <w:rPr>
                <w:rFonts w:hint="eastAsia" w:ascii="宋体" w:hAnsi="宋体" w:cs="宋体"/>
                <w:kern w:val="0"/>
                <w:sz w:val="20"/>
                <w:szCs w:val="20"/>
              </w:rPr>
              <w:t>企业会计准则（ □一般企业</w:t>
            </w:r>
            <w:r>
              <w:rPr>
                <w:rFonts w:ascii="宋体" w:hAnsi="宋体" w:cs="宋体"/>
                <w:kern w:val="0"/>
                <w:sz w:val="20"/>
                <w:szCs w:val="20"/>
              </w:rPr>
              <w:t xml:space="preserve">    </w:t>
            </w:r>
            <w:r>
              <w:rPr>
                <w:rFonts w:hint="eastAsia" w:ascii="宋体" w:hAnsi="宋体" w:cs="宋体"/>
                <w:kern w:val="0"/>
                <w:sz w:val="20"/>
                <w:szCs w:val="20"/>
              </w:rPr>
              <w:t>□银行</w:t>
            </w:r>
            <w:r>
              <w:rPr>
                <w:rFonts w:ascii="宋体" w:hAnsi="宋体" w:cs="宋体"/>
                <w:kern w:val="0"/>
                <w:sz w:val="20"/>
                <w:szCs w:val="20"/>
              </w:rPr>
              <w:t xml:space="preserve">    </w:t>
            </w:r>
            <w:r>
              <w:rPr>
                <w:rFonts w:hint="eastAsia" w:ascii="宋体" w:hAnsi="宋体" w:cs="宋体"/>
                <w:kern w:val="0"/>
                <w:sz w:val="20"/>
                <w:szCs w:val="20"/>
              </w:rPr>
              <w:t>□证券</w:t>
            </w:r>
            <w:r>
              <w:rPr>
                <w:rFonts w:ascii="宋体" w:hAnsi="宋体" w:cs="宋体"/>
                <w:kern w:val="0"/>
                <w:sz w:val="20"/>
                <w:szCs w:val="20"/>
              </w:rPr>
              <w:t xml:space="preserve">    </w:t>
            </w:r>
            <w:r>
              <w:rPr>
                <w:rFonts w:hint="eastAsia" w:ascii="宋体" w:hAnsi="宋体" w:cs="宋体"/>
                <w:kern w:val="0"/>
                <w:sz w:val="20"/>
                <w:szCs w:val="20"/>
              </w:rPr>
              <w:t>□保险</w:t>
            </w:r>
            <w:r>
              <w:rPr>
                <w:rFonts w:ascii="宋体" w:hAnsi="宋体" w:cs="宋体"/>
                <w:kern w:val="0"/>
                <w:sz w:val="20"/>
                <w:szCs w:val="20"/>
              </w:rPr>
              <w:t xml:space="preserve">    </w:t>
            </w:r>
            <w:r>
              <w:rPr>
                <w:rFonts w:hint="eastAsia" w:ascii="宋体" w:hAnsi="宋体" w:cs="宋体"/>
                <w:kern w:val="0"/>
                <w:sz w:val="20"/>
                <w:szCs w:val="20"/>
              </w:rPr>
              <w:t>□担保 ）</w:t>
            </w:r>
          </w:p>
          <w:p>
            <w:pPr>
              <w:widowControl/>
              <w:spacing w:line="240" w:lineRule="atLeast"/>
              <w:rPr>
                <w:rFonts w:ascii="宋体" w:hAnsi="宋体" w:cs="宋体"/>
                <w:kern w:val="0"/>
                <w:sz w:val="20"/>
                <w:szCs w:val="20"/>
              </w:rPr>
            </w:pPr>
            <w:r>
              <w:rPr>
                <w:rFonts w:hint="eastAsia" w:ascii="宋体" w:hAnsi="宋体" w:cs="宋体"/>
                <w:kern w:val="0"/>
                <w:sz w:val="20"/>
                <w:szCs w:val="20"/>
              </w:rPr>
              <w:t>□小企业会计准则</w:t>
            </w:r>
          </w:p>
          <w:p>
            <w:pPr>
              <w:widowControl/>
              <w:spacing w:line="240" w:lineRule="atLeast"/>
              <w:rPr>
                <w:rFonts w:ascii="宋体" w:hAnsi="宋体" w:cs="宋体"/>
                <w:kern w:val="0"/>
                <w:sz w:val="20"/>
                <w:szCs w:val="20"/>
              </w:rPr>
            </w:pPr>
            <w:r>
              <w:rPr>
                <w:rFonts w:hint="eastAsia" w:ascii="宋体" w:hAnsi="宋体" w:cs="宋体"/>
                <w:kern w:val="0"/>
                <w:sz w:val="20"/>
                <w:szCs w:val="20"/>
              </w:rPr>
              <w:t>□企业会计制度</w:t>
            </w:r>
          </w:p>
          <w:p>
            <w:pPr>
              <w:widowControl/>
              <w:spacing w:line="240" w:lineRule="atLeast"/>
              <w:rPr>
                <w:rFonts w:ascii="宋体" w:hAnsi="宋体" w:cs="宋体"/>
                <w:kern w:val="0"/>
                <w:sz w:val="20"/>
                <w:szCs w:val="20"/>
              </w:rPr>
            </w:pPr>
            <w:r>
              <w:rPr>
                <w:rFonts w:hint="eastAsia" w:ascii="宋体" w:hAnsi="宋体" w:cs="宋体"/>
                <w:kern w:val="0"/>
                <w:sz w:val="20"/>
                <w:szCs w:val="20"/>
              </w:rPr>
              <w:t>事业单位会计准则（ □事业单位会计制度  □科学事业单位会计制度  □医院会计制度</w:t>
            </w:r>
          </w:p>
          <w:p>
            <w:pPr>
              <w:widowControl/>
              <w:spacing w:line="240" w:lineRule="atLeast"/>
              <w:ind w:firstLine="1904" w:firstLineChars="952"/>
              <w:rPr>
                <w:rFonts w:ascii="宋体" w:hAnsi="宋体" w:cs="宋体"/>
                <w:kern w:val="0"/>
                <w:sz w:val="20"/>
                <w:szCs w:val="20"/>
              </w:rPr>
            </w:pPr>
            <w:r>
              <w:rPr>
                <w:rFonts w:hint="eastAsia" w:ascii="宋体" w:hAnsi="宋体" w:cs="宋体"/>
                <w:kern w:val="0"/>
                <w:sz w:val="20"/>
                <w:szCs w:val="20"/>
              </w:rPr>
              <w:t xml:space="preserve">□高等学校会计制度 </w:t>
            </w:r>
            <w:r>
              <w:rPr>
                <w:rFonts w:ascii="宋体" w:hAnsi="宋体" w:cs="宋体"/>
                <w:kern w:val="0"/>
                <w:sz w:val="20"/>
                <w:szCs w:val="20"/>
              </w:rPr>
              <w:t xml:space="preserve"> </w:t>
            </w:r>
            <w:r>
              <w:rPr>
                <w:rFonts w:hint="eastAsia" w:ascii="宋体" w:hAnsi="宋体" w:cs="宋体"/>
                <w:kern w:val="0"/>
                <w:sz w:val="20"/>
                <w:szCs w:val="20"/>
              </w:rPr>
              <w:t xml:space="preserve">□中小学校会计制度  </w:t>
            </w:r>
            <w:r>
              <w:rPr>
                <w:rFonts w:ascii="宋体" w:hAnsi="宋体" w:cs="宋体"/>
                <w:kern w:val="0"/>
                <w:sz w:val="20"/>
                <w:szCs w:val="20"/>
              </w:rPr>
              <w:t xml:space="preserve">    </w:t>
            </w:r>
            <w:r>
              <w:rPr>
                <w:rFonts w:hint="eastAsia" w:ascii="宋体" w:hAnsi="宋体" w:cs="宋体"/>
                <w:kern w:val="0"/>
                <w:sz w:val="20"/>
                <w:szCs w:val="20"/>
              </w:rPr>
              <w:t>□彩票机构会计制度）</w:t>
            </w:r>
          </w:p>
          <w:p>
            <w:pPr>
              <w:widowControl/>
              <w:spacing w:line="240" w:lineRule="atLeast"/>
              <w:rPr>
                <w:rFonts w:ascii="宋体" w:hAnsi="宋体" w:cs="宋体"/>
                <w:kern w:val="0"/>
                <w:sz w:val="20"/>
                <w:szCs w:val="20"/>
              </w:rPr>
            </w:pPr>
            <w:r>
              <w:rPr>
                <w:rFonts w:hint="eastAsia" w:ascii="宋体" w:hAnsi="宋体" w:cs="宋体"/>
                <w:kern w:val="0"/>
                <w:sz w:val="20"/>
                <w:szCs w:val="20"/>
              </w:rPr>
              <w:t>□民间非营利组织会计制度</w:t>
            </w:r>
          </w:p>
          <w:p>
            <w:pPr>
              <w:widowControl/>
              <w:spacing w:line="240" w:lineRule="atLeast"/>
              <w:rPr>
                <w:rFonts w:ascii="宋体" w:hAnsi="宋体" w:cs="宋体"/>
                <w:kern w:val="0"/>
                <w:sz w:val="20"/>
                <w:szCs w:val="20"/>
              </w:rPr>
            </w:pPr>
            <w:r>
              <w:rPr>
                <w:rFonts w:hint="eastAsia" w:ascii="宋体" w:hAnsi="宋体" w:cs="宋体"/>
                <w:kern w:val="0"/>
                <w:sz w:val="20"/>
                <w:szCs w:val="20"/>
              </w:rPr>
              <w:t>□村集体经济组织会计制度</w:t>
            </w:r>
          </w:p>
          <w:p>
            <w:pPr>
              <w:widowControl/>
              <w:spacing w:line="240" w:lineRule="atLeast"/>
              <w:rPr>
                <w:rFonts w:ascii="宋体" w:hAnsi="宋体" w:cs="宋体"/>
                <w:kern w:val="0"/>
                <w:sz w:val="20"/>
                <w:szCs w:val="20"/>
              </w:rPr>
            </w:pPr>
            <w:r>
              <w:rPr>
                <w:rFonts w:hint="eastAsia" w:ascii="宋体" w:hAnsi="宋体" w:cs="宋体"/>
                <w:kern w:val="0"/>
                <w:sz w:val="20"/>
                <w:szCs w:val="20"/>
              </w:rPr>
              <w:t>□农民专业合作社财务会计制度（试行）</w:t>
            </w:r>
          </w:p>
          <w:p>
            <w:pPr>
              <w:widowControl/>
              <w:spacing w:line="240" w:lineRule="atLeast"/>
              <w:rPr>
                <w:rFonts w:ascii="宋体" w:hAnsi="宋体" w:cs="宋体"/>
                <w:kern w:val="0"/>
                <w:sz w:val="20"/>
                <w:szCs w:val="20"/>
              </w:rPr>
            </w:pPr>
            <w:r>
              <w:rPr>
                <w:rFonts w:hint="eastAsia" w:ascii="宋体" w:hAnsi="宋体" w:cs="宋体"/>
                <w:kern w:val="0"/>
                <w:sz w:val="20"/>
                <w:szCs w:val="20"/>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10547" w:type="dxa"/>
            <w:gridSpan w:val="17"/>
            <w:tcBorders>
              <w:top w:val="single" w:color="auto" w:sz="12" w:space="0"/>
              <w:bottom w:val="single" w:color="auto" w:sz="6" w:space="0"/>
            </w:tcBorders>
            <w:shd w:val="clear" w:color="auto" w:fill="auto"/>
            <w:vAlign w:val="center"/>
          </w:tcPr>
          <w:p>
            <w:pPr>
              <w:widowControl/>
              <w:spacing w:line="240" w:lineRule="atLeast"/>
              <w:jc w:val="center"/>
              <w:rPr>
                <w:rFonts w:ascii="宋体" w:hAnsi="宋体" w:cs="宋体"/>
                <w:b/>
                <w:bCs/>
                <w:kern w:val="0"/>
                <w:sz w:val="20"/>
                <w:szCs w:val="20"/>
              </w:rPr>
            </w:pPr>
            <w:r>
              <w:rPr>
                <w:rFonts w:hint="eastAsia" w:ascii="宋体" w:hAnsi="宋体" w:cs="宋体"/>
                <w:b/>
                <w:bCs/>
                <w:kern w:val="0"/>
                <w:sz w:val="20"/>
                <w:szCs w:val="20"/>
              </w:rPr>
              <w:t>200企业重组及递延纳税事项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5048" w:type="dxa"/>
            <w:gridSpan w:val="6"/>
            <w:tcBorders>
              <w:top w:val="single" w:color="auto" w:sz="6" w:space="0"/>
              <w:bottom w:val="single" w:color="auto" w:sz="6" w:space="0"/>
            </w:tcBorders>
            <w:shd w:val="clear" w:color="auto" w:fill="auto"/>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201发生资产（股权）划转特殊性税务处理事项</w:t>
            </w:r>
          </w:p>
        </w:tc>
        <w:tc>
          <w:tcPr>
            <w:tcW w:w="3303" w:type="dxa"/>
            <w:gridSpan w:val="7"/>
            <w:tcBorders>
              <w:top w:val="single" w:color="auto" w:sz="6" w:space="0"/>
              <w:bottom w:val="single" w:color="auto" w:sz="6"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□是</w:t>
            </w:r>
          </w:p>
        </w:tc>
        <w:tc>
          <w:tcPr>
            <w:tcW w:w="2196" w:type="dxa"/>
            <w:gridSpan w:val="4"/>
            <w:tcBorders>
              <w:top w:val="single" w:color="auto" w:sz="6" w:space="0"/>
              <w:bottom w:val="single" w:color="auto" w:sz="6"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5048" w:type="dxa"/>
            <w:gridSpan w:val="6"/>
            <w:tcBorders>
              <w:top w:val="single" w:color="auto" w:sz="6" w:space="0"/>
              <w:bottom w:val="single" w:color="auto" w:sz="6" w:space="0"/>
            </w:tcBorders>
            <w:shd w:val="clear" w:color="auto" w:fill="auto"/>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202发生非货币性资产投资递延纳税事项</w:t>
            </w:r>
          </w:p>
        </w:tc>
        <w:tc>
          <w:tcPr>
            <w:tcW w:w="3303" w:type="dxa"/>
            <w:gridSpan w:val="7"/>
            <w:tcBorders>
              <w:top w:val="single" w:color="auto" w:sz="6" w:space="0"/>
              <w:bottom w:val="single" w:color="auto" w:sz="6"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□是</w:t>
            </w:r>
          </w:p>
        </w:tc>
        <w:tc>
          <w:tcPr>
            <w:tcW w:w="2196" w:type="dxa"/>
            <w:gridSpan w:val="4"/>
            <w:tcBorders>
              <w:top w:val="single" w:color="auto" w:sz="6" w:space="0"/>
              <w:bottom w:val="single" w:color="auto" w:sz="6"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5048" w:type="dxa"/>
            <w:gridSpan w:val="6"/>
            <w:tcBorders>
              <w:top w:val="single" w:color="auto" w:sz="6" w:space="0"/>
              <w:bottom w:val="single" w:color="auto" w:sz="6" w:space="0"/>
            </w:tcBorders>
            <w:shd w:val="clear" w:color="000000" w:fill="FFFFFF"/>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203发生技术入股递延纳税事项</w:t>
            </w:r>
          </w:p>
        </w:tc>
        <w:tc>
          <w:tcPr>
            <w:tcW w:w="3303" w:type="dxa"/>
            <w:gridSpan w:val="7"/>
            <w:tcBorders>
              <w:top w:val="single" w:color="auto" w:sz="6" w:space="0"/>
              <w:bottom w:val="single" w:color="auto" w:sz="6" w:space="0"/>
            </w:tcBorders>
            <w:shd w:val="clear" w:color="000000" w:fill="FFFFFF"/>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□是</w:t>
            </w:r>
          </w:p>
        </w:tc>
        <w:tc>
          <w:tcPr>
            <w:tcW w:w="2196" w:type="dxa"/>
            <w:gridSpan w:val="4"/>
            <w:tcBorders>
              <w:top w:val="single" w:color="auto" w:sz="6" w:space="0"/>
              <w:bottom w:val="single" w:color="auto" w:sz="6" w:space="0"/>
            </w:tcBorders>
            <w:shd w:val="clear" w:color="000000" w:fill="FFFFFF"/>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5048" w:type="dxa"/>
            <w:gridSpan w:val="6"/>
            <w:tcBorders>
              <w:top w:val="single" w:color="auto" w:sz="6" w:space="0"/>
              <w:bottom w:val="single" w:color="auto" w:sz="6" w:space="0"/>
            </w:tcBorders>
            <w:shd w:val="clear" w:color="000000" w:fill="FFFFFF"/>
            <w:vAlign w:val="center"/>
          </w:tcPr>
          <w:p>
            <w:pPr>
              <w:widowControl/>
              <w:spacing w:line="240" w:lineRule="atLeast"/>
              <w:jc w:val="left"/>
              <w:rPr>
                <w:rFonts w:ascii="宋体" w:hAnsi="宋体" w:cs="宋体"/>
                <w:kern w:val="0"/>
                <w:sz w:val="20"/>
                <w:szCs w:val="20"/>
              </w:rPr>
            </w:pPr>
            <w:bookmarkStart w:id="16" w:name="_Hlk498791292"/>
            <w:r>
              <w:rPr>
                <w:rFonts w:hint="eastAsia" w:ascii="宋体" w:hAnsi="宋体" w:cs="宋体"/>
                <w:kern w:val="0"/>
                <w:sz w:val="20"/>
                <w:szCs w:val="20"/>
              </w:rPr>
              <w:t>204发生企业重组事项</w:t>
            </w:r>
          </w:p>
        </w:tc>
        <w:tc>
          <w:tcPr>
            <w:tcW w:w="5499" w:type="dxa"/>
            <w:gridSpan w:val="11"/>
            <w:tcBorders>
              <w:top w:val="single" w:color="auto" w:sz="6" w:space="0"/>
              <w:bottom w:val="single" w:color="auto" w:sz="6" w:space="0"/>
            </w:tcBorders>
            <w:shd w:val="clear" w:color="000000" w:fill="FFFFFF"/>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是（□一般性税务处理   □特殊性税务处理）  □否</w:t>
            </w:r>
          </w:p>
        </w:tc>
      </w:tr>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 w:hRule="atLeast"/>
          <w:jc w:val="center"/>
        </w:trPr>
        <w:tc>
          <w:tcPr>
            <w:tcW w:w="2080" w:type="dxa"/>
            <w:gridSpan w:val="2"/>
            <w:tcBorders>
              <w:top w:val="single" w:color="auto" w:sz="6" w:space="0"/>
              <w:bottom w:val="single" w:color="auto" w:sz="6" w:space="0"/>
            </w:tcBorders>
            <w:shd w:val="clear" w:color="000000" w:fill="FFFFFF"/>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204-1重组开始时间</w:t>
            </w:r>
          </w:p>
        </w:tc>
        <w:tc>
          <w:tcPr>
            <w:tcW w:w="2968" w:type="dxa"/>
            <w:gridSpan w:val="4"/>
            <w:tcBorders>
              <w:top w:val="single" w:color="auto" w:sz="6" w:space="0"/>
              <w:bottom w:val="single" w:color="auto" w:sz="6" w:space="0"/>
            </w:tcBorders>
            <w:shd w:val="clear" w:color="000000" w:fill="FFFFFF"/>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xml:space="preserve">      年    月    日</w:t>
            </w:r>
          </w:p>
        </w:tc>
        <w:tc>
          <w:tcPr>
            <w:tcW w:w="3303" w:type="dxa"/>
            <w:gridSpan w:val="7"/>
            <w:tcBorders>
              <w:top w:val="single" w:color="auto" w:sz="6" w:space="0"/>
              <w:bottom w:val="single" w:color="auto" w:sz="6" w:space="0"/>
            </w:tcBorders>
            <w:shd w:val="clear" w:color="000000" w:fill="FFFFFF"/>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204-2重组完成时间</w:t>
            </w:r>
          </w:p>
        </w:tc>
        <w:tc>
          <w:tcPr>
            <w:tcW w:w="2196" w:type="dxa"/>
            <w:gridSpan w:val="4"/>
            <w:tcBorders>
              <w:top w:val="single" w:color="auto" w:sz="6" w:space="0"/>
              <w:bottom w:val="single" w:color="auto" w:sz="6" w:space="0"/>
            </w:tcBorders>
            <w:shd w:val="clear" w:color="000000" w:fill="FFFFFF"/>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6" w:hRule="atLeast"/>
          <w:jc w:val="center"/>
        </w:trPr>
        <w:tc>
          <w:tcPr>
            <w:tcW w:w="2080" w:type="dxa"/>
            <w:gridSpan w:val="2"/>
            <w:tcBorders>
              <w:top w:val="single" w:color="auto" w:sz="6" w:space="0"/>
              <w:bottom w:val="dashed" w:color="auto" w:sz="4" w:space="0"/>
            </w:tcBorders>
            <w:shd w:val="clear" w:color="000000" w:fill="FFFFFF"/>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204-3重组交易类型</w:t>
            </w:r>
          </w:p>
        </w:tc>
        <w:tc>
          <w:tcPr>
            <w:tcW w:w="1701" w:type="dxa"/>
            <w:gridSpan w:val="3"/>
            <w:tcBorders>
              <w:top w:val="single" w:color="auto" w:sz="6" w:space="0"/>
              <w:bottom w:val="dashed" w:color="auto" w:sz="4" w:space="0"/>
            </w:tcBorders>
            <w:shd w:val="clear" w:color="000000" w:fill="FFFFFF"/>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□法律形式改变</w:t>
            </w:r>
          </w:p>
        </w:tc>
        <w:tc>
          <w:tcPr>
            <w:tcW w:w="1276" w:type="dxa"/>
            <w:gridSpan w:val="2"/>
            <w:tcBorders>
              <w:top w:val="single" w:color="auto" w:sz="6" w:space="0"/>
              <w:bottom w:val="dashed" w:color="auto" w:sz="4" w:space="0"/>
            </w:tcBorders>
            <w:shd w:val="clear" w:color="000000" w:fill="FFFFFF"/>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□债务重组</w:t>
            </w:r>
          </w:p>
        </w:tc>
        <w:tc>
          <w:tcPr>
            <w:tcW w:w="1256" w:type="dxa"/>
            <w:gridSpan w:val="3"/>
            <w:tcBorders>
              <w:top w:val="single" w:color="auto" w:sz="6" w:space="0"/>
              <w:bottom w:val="dashed" w:color="auto" w:sz="4" w:space="0"/>
            </w:tcBorders>
            <w:shd w:val="clear" w:color="000000" w:fill="FFFFFF"/>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□股权收购</w:t>
            </w:r>
          </w:p>
        </w:tc>
        <w:tc>
          <w:tcPr>
            <w:tcW w:w="1276" w:type="dxa"/>
            <w:gridSpan w:val="2"/>
            <w:tcBorders>
              <w:top w:val="single" w:color="auto" w:sz="6" w:space="0"/>
              <w:bottom w:val="dashed" w:color="auto" w:sz="4" w:space="0"/>
            </w:tcBorders>
            <w:shd w:val="clear" w:color="000000" w:fill="FFFFFF"/>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□资产收购</w:t>
            </w:r>
          </w:p>
        </w:tc>
        <w:tc>
          <w:tcPr>
            <w:tcW w:w="1525" w:type="dxa"/>
            <w:gridSpan w:val="3"/>
            <w:tcBorders>
              <w:top w:val="single" w:color="auto" w:sz="6" w:space="0"/>
              <w:bottom w:val="dashed" w:color="auto" w:sz="4" w:space="0"/>
            </w:tcBorders>
            <w:shd w:val="clear" w:color="000000" w:fill="FFFFFF"/>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□合并</w:t>
            </w:r>
          </w:p>
        </w:tc>
        <w:tc>
          <w:tcPr>
            <w:tcW w:w="1433" w:type="dxa"/>
            <w:gridSpan w:val="2"/>
            <w:tcBorders>
              <w:top w:val="single" w:color="auto" w:sz="6" w:space="0"/>
              <w:bottom w:val="dashed" w:color="auto" w:sz="4" w:space="0"/>
            </w:tcBorders>
            <w:shd w:val="clear" w:color="000000" w:fill="FFFFFF"/>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□分立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7" w:hRule="atLeast"/>
          <w:jc w:val="center"/>
        </w:trPr>
        <w:tc>
          <w:tcPr>
            <w:tcW w:w="2080" w:type="dxa"/>
            <w:gridSpan w:val="2"/>
            <w:tcBorders>
              <w:top w:val="dashed" w:color="auto" w:sz="4" w:space="0"/>
              <w:bottom w:val="single" w:color="auto" w:sz="12" w:space="0"/>
            </w:tcBorders>
            <w:shd w:val="clear" w:color="000000" w:fill="FFFFFF"/>
            <w:vAlign w:val="center"/>
          </w:tcPr>
          <w:p>
            <w:pPr>
              <w:widowControl/>
              <w:spacing w:line="240" w:lineRule="atLeast"/>
              <w:jc w:val="left"/>
              <w:rPr>
                <w:rFonts w:ascii="宋体" w:hAnsi="宋体" w:cs="宋体"/>
                <w:kern w:val="0"/>
                <w:sz w:val="20"/>
                <w:szCs w:val="20"/>
              </w:rPr>
            </w:pPr>
            <w:r>
              <w:rPr>
                <w:rFonts w:hint="eastAsia" w:ascii="宋体" w:hAnsi="宋体" w:cs="宋体"/>
                <w:kern w:val="0"/>
                <w:sz w:val="20"/>
                <w:szCs w:val="20"/>
              </w:rPr>
              <w:t>204-4企业在重组业务中所属当事方类型</w:t>
            </w:r>
          </w:p>
        </w:tc>
        <w:tc>
          <w:tcPr>
            <w:tcW w:w="1701" w:type="dxa"/>
            <w:gridSpan w:val="3"/>
            <w:tcBorders>
              <w:top w:val="dashed" w:color="auto" w:sz="4" w:space="0"/>
              <w:bottom w:val="single" w:color="auto" w:sz="12" w:space="0"/>
            </w:tcBorders>
            <w:shd w:val="clear" w:color="000000" w:fill="FFFFFF"/>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w:t>
            </w:r>
          </w:p>
        </w:tc>
        <w:tc>
          <w:tcPr>
            <w:tcW w:w="1276" w:type="dxa"/>
            <w:gridSpan w:val="2"/>
            <w:tcBorders>
              <w:top w:val="dashed" w:color="auto" w:sz="4" w:space="0"/>
              <w:bottom w:val="single" w:color="auto" w:sz="12" w:space="0"/>
            </w:tcBorders>
            <w:shd w:val="clear" w:color="000000" w:fill="FFFFFF"/>
            <w:vAlign w:val="top"/>
          </w:tcPr>
          <w:p>
            <w:pPr>
              <w:widowControl/>
              <w:spacing w:line="240" w:lineRule="atLeast"/>
              <w:rPr>
                <w:rFonts w:ascii="宋体" w:hAnsi="宋体" w:cs="宋体"/>
                <w:kern w:val="0"/>
                <w:sz w:val="20"/>
                <w:szCs w:val="20"/>
              </w:rPr>
            </w:pPr>
            <w:r>
              <w:rPr>
                <w:rFonts w:hint="eastAsia" w:ascii="宋体" w:hAnsi="宋体" w:cs="宋体"/>
                <w:kern w:val="0"/>
                <w:sz w:val="20"/>
                <w:szCs w:val="20"/>
              </w:rPr>
              <w:t>□债务人</w:t>
            </w:r>
          </w:p>
          <w:p>
            <w:pPr>
              <w:widowControl/>
              <w:spacing w:line="240" w:lineRule="atLeast"/>
              <w:rPr>
                <w:rFonts w:ascii="宋体" w:hAnsi="宋体" w:cs="宋体"/>
                <w:kern w:val="0"/>
                <w:sz w:val="20"/>
                <w:szCs w:val="20"/>
              </w:rPr>
            </w:pPr>
            <w:r>
              <w:rPr>
                <w:rFonts w:hint="eastAsia" w:ascii="宋体" w:hAnsi="宋体" w:cs="宋体"/>
                <w:kern w:val="0"/>
                <w:sz w:val="20"/>
                <w:szCs w:val="20"/>
              </w:rPr>
              <w:t>□债权人</w:t>
            </w:r>
          </w:p>
        </w:tc>
        <w:tc>
          <w:tcPr>
            <w:tcW w:w="1256" w:type="dxa"/>
            <w:gridSpan w:val="3"/>
            <w:tcBorders>
              <w:top w:val="dashed" w:color="auto" w:sz="4" w:space="0"/>
              <w:bottom w:val="single" w:color="auto" w:sz="12" w:space="0"/>
            </w:tcBorders>
            <w:shd w:val="clear" w:color="000000" w:fill="FFFFFF"/>
            <w:vAlign w:val="top"/>
          </w:tcPr>
          <w:p>
            <w:pPr>
              <w:widowControl/>
              <w:spacing w:line="240" w:lineRule="atLeast"/>
              <w:rPr>
                <w:rFonts w:ascii="宋体" w:hAnsi="宋体" w:cs="宋体"/>
                <w:kern w:val="0"/>
                <w:sz w:val="20"/>
                <w:szCs w:val="20"/>
              </w:rPr>
            </w:pPr>
            <w:r>
              <w:rPr>
                <w:rFonts w:hint="eastAsia" w:ascii="宋体" w:hAnsi="宋体" w:cs="宋体"/>
                <w:kern w:val="0"/>
                <w:sz w:val="20"/>
                <w:szCs w:val="20"/>
              </w:rPr>
              <w:t>□收购方</w:t>
            </w:r>
          </w:p>
          <w:p>
            <w:pPr>
              <w:widowControl/>
              <w:spacing w:line="240" w:lineRule="atLeast"/>
              <w:rPr>
                <w:rFonts w:ascii="宋体" w:hAnsi="宋体" w:cs="宋体"/>
                <w:kern w:val="0"/>
                <w:sz w:val="20"/>
                <w:szCs w:val="20"/>
              </w:rPr>
            </w:pPr>
            <w:r>
              <w:rPr>
                <w:rFonts w:hint="eastAsia" w:ascii="宋体" w:hAnsi="宋体" w:cs="宋体"/>
                <w:kern w:val="0"/>
                <w:sz w:val="20"/>
                <w:szCs w:val="20"/>
              </w:rPr>
              <w:t>□转让方</w:t>
            </w:r>
          </w:p>
          <w:p>
            <w:pPr>
              <w:widowControl/>
              <w:spacing w:line="240" w:lineRule="atLeast"/>
              <w:rPr>
                <w:rFonts w:ascii="宋体" w:hAnsi="宋体" w:cs="宋体"/>
                <w:kern w:val="0"/>
                <w:sz w:val="20"/>
                <w:szCs w:val="20"/>
              </w:rPr>
            </w:pPr>
            <w:r>
              <w:rPr>
                <w:rFonts w:hint="eastAsia" w:ascii="宋体" w:hAnsi="宋体" w:cs="宋体"/>
                <w:kern w:val="0"/>
                <w:sz w:val="20"/>
                <w:szCs w:val="20"/>
              </w:rPr>
              <w:t>□被收购企业</w:t>
            </w:r>
          </w:p>
        </w:tc>
        <w:tc>
          <w:tcPr>
            <w:tcW w:w="1276" w:type="dxa"/>
            <w:gridSpan w:val="2"/>
            <w:tcBorders>
              <w:top w:val="dashed" w:color="auto" w:sz="4" w:space="0"/>
              <w:bottom w:val="single" w:color="auto" w:sz="12" w:space="0"/>
            </w:tcBorders>
            <w:shd w:val="clear" w:color="000000" w:fill="FFFFFF"/>
            <w:vAlign w:val="top"/>
          </w:tcPr>
          <w:p>
            <w:pPr>
              <w:widowControl/>
              <w:spacing w:line="240" w:lineRule="atLeast"/>
              <w:rPr>
                <w:rFonts w:ascii="宋体" w:hAnsi="宋体" w:cs="宋体"/>
                <w:kern w:val="0"/>
                <w:sz w:val="20"/>
                <w:szCs w:val="20"/>
              </w:rPr>
            </w:pPr>
            <w:r>
              <w:rPr>
                <w:rFonts w:hint="eastAsia" w:ascii="宋体" w:hAnsi="宋体" w:cs="宋体"/>
                <w:kern w:val="0"/>
                <w:sz w:val="20"/>
                <w:szCs w:val="20"/>
              </w:rPr>
              <w:t>□收购方</w:t>
            </w:r>
          </w:p>
          <w:p>
            <w:pPr>
              <w:widowControl/>
              <w:spacing w:line="240" w:lineRule="atLeast"/>
              <w:rPr>
                <w:rFonts w:ascii="宋体" w:hAnsi="宋体" w:cs="宋体"/>
                <w:kern w:val="0"/>
                <w:sz w:val="20"/>
                <w:szCs w:val="20"/>
              </w:rPr>
            </w:pPr>
            <w:r>
              <w:rPr>
                <w:rFonts w:hint="eastAsia" w:ascii="宋体" w:hAnsi="宋体" w:cs="宋体"/>
                <w:kern w:val="0"/>
                <w:sz w:val="20"/>
                <w:szCs w:val="20"/>
              </w:rPr>
              <w:t>□转让方</w:t>
            </w:r>
          </w:p>
          <w:p>
            <w:pPr>
              <w:spacing w:line="240" w:lineRule="atLeast"/>
              <w:rPr>
                <w:rFonts w:ascii="宋体" w:hAnsi="宋体" w:cs="宋体"/>
                <w:kern w:val="0"/>
                <w:sz w:val="20"/>
                <w:szCs w:val="20"/>
              </w:rPr>
            </w:pPr>
            <w:r>
              <w:rPr>
                <w:rFonts w:hint="eastAsia" w:ascii="宋体" w:hAnsi="宋体" w:cs="宋体"/>
                <w:kern w:val="0"/>
                <w:sz w:val="20"/>
                <w:szCs w:val="20"/>
              </w:rPr>
              <w:t>　</w:t>
            </w:r>
          </w:p>
        </w:tc>
        <w:tc>
          <w:tcPr>
            <w:tcW w:w="1525" w:type="dxa"/>
            <w:gridSpan w:val="3"/>
            <w:tcBorders>
              <w:top w:val="dashed" w:color="auto" w:sz="4" w:space="0"/>
              <w:bottom w:val="single" w:color="auto" w:sz="12" w:space="0"/>
            </w:tcBorders>
            <w:shd w:val="clear" w:color="000000" w:fill="FFFFFF"/>
            <w:vAlign w:val="top"/>
          </w:tcPr>
          <w:p>
            <w:pPr>
              <w:widowControl/>
              <w:spacing w:line="240" w:lineRule="atLeast"/>
              <w:rPr>
                <w:rFonts w:ascii="宋体" w:hAnsi="宋体" w:cs="宋体"/>
                <w:kern w:val="0"/>
                <w:sz w:val="20"/>
                <w:szCs w:val="20"/>
              </w:rPr>
            </w:pPr>
            <w:r>
              <w:rPr>
                <w:rFonts w:hint="eastAsia" w:ascii="宋体" w:hAnsi="宋体" w:cs="宋体"/>
                <w:kern w:val="0"/>
                <w:sz w:val="20"/>
                <w:szCs w:val="20"/>
              </w:rPr>
              <w:t>□合并企业</w:t>
            </w:r>
          </w:p>
          <w:p>
            <w:pPr>
              <w:widowControl/>
              <w:spacing w:line="240" w:lineRule="atLeast"/>
              <w:rPr>
                <w:rFonts w:ascii="宋体" w:hAnsi="宋体" w:cs="宋体"/>
                <w:kern w:val="0"/>
                <w:sz w:val="20"/>
                <w:szCs w:val="20"/>
              </w:rPr>
            </w:pPr>
            <w:r>
              <w:rPr>
                <w:rFonts w:hint="eastAsia" w:ascii="宋体" w:hAnsi="宋体" w:cs="宋体"/>
                <w:kern w:val="0"/>
                <w:sz w:val="20"/>
                <w:szCs w:val="20"/>
              </w:rPr>
              <w:t>□被合并企业</w:t>
            </w:r>
          </w:p>
          <w:p>
            <w:pPr>
              <w:widowControl/>
              <w:spacing w:line="240" w:lineRule="atLeast"/>
              <w:rPr>
                <w:rFonts w:ascii="宋体" w:hAnsi="宋体" w:cs="宋体"/>
                <w:kern w:val="0"/>
                <w:sz w:val="20"/>
                <w:szCs w:val="20"/>
              </w:rPr>
            </w:pPr>
            <w:r>
              <w:rPr>
                <w:rFonts w:hint="eastAsia" w:ascii="宋体" w:hAnsi="宋体" w:cs="宋体"/>
                <w:kern w:val="0"/>
                <w:sz w:val="20"/>
                <w:szCs w:val="20"/>
              </w:rPr>
              <w:t>□被合并企业股东</w:t>
            </w:r>
          </w:p>
        </w:tc>
        <w:tc>
          <w:tcPr>
            <w:tcW w:w="1433" w:type="dxa"/>
            <w:gridSpan w:val="2"/>
            <w:tcBorders>
              <w:top w:val="dashed" w:color="auto" w:sz="4" w:space="0"/>
              <w:bottom w:val="single" w:color="auto" w:sz="12" w:space="0"/>
            </w:tcBorders>
            <w:shd w:val="clear" w:color="000000" w:fill="FFFFFF"/>
            <w:vAlign w:val="top"/>
          </w:tcPr>
          <w:p>
            <w:pPr>
              <w:widowControl/>
              <w:spacing w:line="240" w:lineRule="atLeast"/>
              <w:rPr>
                <w:rFonts w:ascii="宋体" w:hAnsi="宋体" w:cs="宋体"/>
                <w:kern w:val="0"/>
                <w:sz w:val="20"/>
                <w:szCs w:val="20"/>
              </w:rPr>
            </w:pPr>
            <w:r>
              <w:rPr>
                <w:rFonts w:hint="eastAsia" w:ascii="宋体" w:hAnsi="宋体" w:cs="宋体"/>
                <w:kern w:val="0"/>
                <w:sz w:val="20"/>
                <w:szCs w:val="20"/>
              </w:rPr>
              <w:t>□分立企业</w:t>
            </w:r>
          </w:p>
          <w:p>
            <w:pPr>
              <w:widowControl/>
              <w:spacing w:line="240" w:lineRule="atLeast"/>
              <w:rPr>
                <w:rFonts w:ascii="宋体" w:hAnsi="宋体" w:cs="宋体"/>
                <w:kern w:val="0"/>
                <w:sz w:val="20"/>
                <w:szCs w:val="20"/>
              </w:rPr>
            </w:pPr>
            <w:r>
              <w:rPr>
                <w:rFonts w:hint="eastAsia" w:ascii="宋体" w:hAnsi="宋体" w:cs="宋体"/>
                <w:kern w:val="0"/>
                <w:sz w:val="20"/>
                <w:szCs w:val="20"/>
              </w:rPr>
              <w:t>□被分立企业</w:t>
            </w:r>
          </w:p>
          <w:p>
            <w:pPr>
              <w:widowControl/>
              <w:spacing w:line="240" w:lineRule="atLeast"/>
              <w:rPr>
                <w:rFonts w:ascii="宋体" w:hAnsi="宋体" w:cs="宋体"/>
                <w:kern w:val="0"/>
                <w:sz w:val="20"/>
                <w:szCs w:val="20"/>
              </w:rPr>
            </w:pPr>
            <w:r>
              <w:rPr>
                <w:rFonts w:hint="eastAsia" w:ascii="宋体" w:hAnsi="宋体" w:cs="宋体"/>
                <w:kern w:val="0"/>
                <w:sz w:val="20"/>
                <w:szCs w:val="20"/>
              </w:rPr>
              <w:t>□被分立企业股东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7" w:hRule="atLeast"/>
          <w:jc w:val="center"/>
        </w:trPr>
        <w:tc>
          <w:tcPr>
            <w:tcW w:w="10547" w:type="dxa"/>
            <w:gridSpan w:val="17"/>
            <w:tcBorders>
              <w:top w:val="single" w:color="auto" w:sz="12" w:space="0"/>
              <w:bottom w:val="single" w:color="auto" w:sz="6" w:space="0"/>
            </w:tcBorders>
            <w:shd w:val="clear" w:color="auto" w:fill="auto"/>
            <w:vAlign w:val="center"/>
          </w:tcPr>
          <w:p>
            <w:pPr>
              <w:widowControl/>
              <w:spacing w:line="240" w:lineRule="atLeast"/>
              <w:jc w:val="center"/>
              <w:rPr>
                <w:rFonts w:ascii="宋体" w:hAnsi="宋体" w:cs="宋体"/>
                <w:b/>
                <w:bCs/>
                <w:kern w:val="0"/>
                <w:sz w:val="20"/>
                <w:szCs w:val="20"/>
              </w:rPr>
            </w:pPr>
            <w:r>
              <w:rPr>
                <w:rFonts w:hint="eastAsia" w:ascii="宋体" w:hAnsi="宋体" w:cs="宋体"/>
                <w:b/>
                <w:bCs/>
                <w:kern w:val="0"/>
                <w:sz w:val="20"/>
                <w:szCs w:val="20"/>
              </w:rPr>
              <w:t>300企业主要股东及分红情况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513" w:type="dxa"/>
            <w:tcBorders>
              <w:top w:val="single" w:color="auto" w:sz="6" w:space="0"/>
              <w:bottom w:val="single" w:color="auto" w:sz="6"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股东名称</w:t>
            </w:r>
          </w:p>
        </w:tc>
        <w:tc>
          <w:tcPr>
            <w:tcW w:w="1560" w:type="dxa"/>
            <w:gridSpan w:val="3"/>
            <w:tcBorders>
              <w:top w:val="single" w:color="auto" w:sz="6" w:space="0"/>
              <w:bottom w:val="single" w:color="auto" w:sz="6"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证件种类</w:t>
            </w:r>
          </w:p>
        </w:tc>
        <w:tc>
          <w:tcPr>
            <w:tcW w:w="1992" w:type="dxa"/>
            <w:gridSpan w:val="4"/>
            <w:tcBorders>
              <w:top w:val="single" w:color="auto" w:sz="6" w:space="0"/>
              <w:bottom w:val="single" w:color="auto" w:sz="6"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证件号码</w:t>
            </w:r>
          </w:p>
        </w:tc>
        <w:tc>
          <w:tcPr>
            <w:tcW w:w="1527" w:type="dxa"/>
            <w:gridSpan w:val="3"/>
            <w:tcBorders>
              <w:top w:val="single" w:color="auto" w:sz="6" w:space="0"/>
              <w:bottom w:val="single" w:color="auto" w:sz="6"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投资比例</w:t>
            </w:r>
          </w:p>
        </w:tc>
        <w:tc>
          <w:tcPr>
            <w:tcW w:w="2835" w:type="dxa"/>
            <w:gridSpan w:val="5"/>
            <w:tcBorders>
              <w:top w:val="single" w:color="auto" w:sz="6" w:space="0"/>
              <w:bottom w:val="single" w:color="auto" w:sz="6"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当年（决议日）分配的股息、红利等权益性投资收益金额</w:t>
            </w:r>
          </w:p>
        </w:tc>
        <w:tc>
          <w:tcPr>
            <w:tcW w:w="1120" w:type="dxa"/>
            <w:tcBorders>
              <w:top w:val="single" w:color="auto" w:sz="6" w:space="0"/>
              <w:bottom w:val="single" w:color="auto" w:sz="6"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国籍（注册地址）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513" w:type="dxa"/>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560" w:type="dxa"/>
            <w:gridSpan w:val="3"/>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992" w:type="dxa"/>
            <w:gridSpan w:val="4"/>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527" w:type="dxa"/>
            <w:gridSpan w:val="3"/>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2835" w:type="dxa"/>
            <w:gridSpan w:val="5"/>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120" w:type="dxa"/>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513" w:type="dxa"/>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560" w:type="dxa"/>
            <w:gridSpan w:val="3"/>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992" w:type="dxa"/>
            <w:gridSpan w:val="4"/>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527" w:type="dxa"/>
            <w:gridSpan w:val="3"/>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2835" w:type="dxa"/>
            <w:gridSpan w:val="5"/>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120" w:type="dxa"/>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513" w:type="dxa"/>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560" w:type="dxa"/>
            <w:gridSpan w:val="3"/>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992" w:type="dxa"/>
            <w:gridSpan w:val="4"/>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527" w:type="dxa"/>
            <w:gridSpan w:val="3"/>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2835" w:type="dxa"/>
            <w:gridSpan w:val="5"/>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120" w:type="dxa"/>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513" w:type="dxa"/>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560" w:type="dxa"/>
            <w:gridSpan w:val="3"/>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992" w:type="dxa"/>
            <w:gridSpan w:val="4"/>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527" w:type="dxa"/>
            <w:gridSpan w:val="3"/>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2835" w:type="dxa"/>
            <w:gridSpan w:val="5"/>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120" w:type="dxa"/>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513" w:type="dxa"/>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560" w:type="dxa"/>
            <w:gridSpan w:val="3"/>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992" w:type="dxa"/>
            <w:gridSpan w:val="4"/>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527" w:type="dxa"/>
            <w:gridSpan w:val="3"/>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2835" w:type="dxa"/>
            <w:gridSpan w:val="5"/>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120" w:type="dxa"/>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513" w:type="dxa"/>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560" w:type="dxa"/>
            <w:gridSpan w:val="3"/>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992" w:type="dxa"/>
            <w:gridSpan w:val="4"/>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527" w:type="dxa"/>
            <w:gridSpan w:val="3"/>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2835" w:type="dxa"/>
            <w:gridSpan w:val="5"/>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120" w:type="dxa"/>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513" w:type="dxa"/>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560" w:type="dxa"/>
            <w:gridSpan w:val="3"/>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992" w:type="dxa"/>
            <w:gridSpan w:val="4"/>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527" w:type="dxa"/>
            <w:gridSpan w:val="3"/>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2835" w:type="dxa"/>
            <w:gridSpan w:val="5"/>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120" w:type="dxa"/>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513" w:type="dxa"/>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560" w:type="dxa"/>
            <w:gridSpan w:val="3"/>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992" w:type="dxa"/>
            <w:gridSpan w:val="4"/>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527" w:type="dxa"/>
            <w:gridSpan w:val="3"/>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2835" w:type="dxa"/>
            <w:gridSpan w:val="5"/>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120" w:type="dxa"/>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513" w:type="dxa"/>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560" w:type="dxa"/>
            <w:gridSpan w:val="3"/>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992" w:type="dxa"/>
            <w:gridSpan w:val="4"/>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527" w:type="dxa"/>
            <w:gridSpan w:val="3"/>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2835" w:type="dxa"/>
            <w:gridSpan w:val="5"/>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120" w:type="dxa"/>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1513" w:type="dxa"/>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560" w:type="dxa"/>
            <w:gridSpan w:val="3"/>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992" w:type="dxa"/>
            <w:gridSpan w:val="4"/>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527" w:type="dxa"/>
            <w:gridSpan w:val="3"/>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2835" w:type="dxa"/>
            <w:gridSpan w:val="5"/>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c>
          <w:tcPr>
            <w:tcW w:w="1120" w:type="dxa"/>
            <w:tcBorders>
              <w:top w:val="single" w:color="auto" w:sz="6" w:space="0"/>
              <w:bottom w:val="single" w:color="auto" w:sz="6" w:space="0"/>
            </w:tcBorders>
            <w:shd w:val="clear" w:color="auto" w:fill="auto"/>
            <w:vAlign w:val="center"/>
          </w:tcPr>
          <w:p>
            <w:pPr>
              <w:widowControl/>
              <w:spacing w:line="240" w:lineRule="atLeast"/>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 w:hRule="atLeast"/>
          <w:jc w:val="center"/>
        </w:trPr>
        <w:tc>
          <w:tcPr>
            <w:tcW w:w="1513" w:type="dxa"/>
            <w:tcBorders>
              <w:top w:val="single" w:color="auto" w:sz="6" w:space="0"/>
              <w:bottom w:val="single" w:color="auto" w:sz="12"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其余股东合计</w:t>
            </w:r>
          </w:p>
        </w:tc>
        <w:tc>
          <w:tcPr>
            <w:tcW w:w="1560" w:type="dxa"/>
            <w:gridSpan w:val="3"/>
            <w:tcBorders>
              <w:top w:val="single" w:color="auto" w:sz="6" w:space="0"/>
              <w:bottom w:val="single" w:color="auto" w:sz="12"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w:t>
            </w:r>
          </w:p>
        </w:tc>
        <w:tc>
          <w:tcPr>
            <w:tcW w:w="1992" w:type="dxa"/>
            <w:gridSpan w:val="4"/>
            <w:tcBorders>
              <w:top w:val="single" w:color="auto" w:sz="6" w:space="0"/>
              <w:bottom w:val="single" w:color="auto" w:sz="12"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w:t>
            </w:r>
          </w:p>
        </w:tc>
        <w:tc>
          <w:tcPr>
            <w:tcW w:w="1527" w:type="dxa"/>
            <w:gridSpan w:val="3"/>
            <w:tcBorders>
              <w:top w:val="single" w:color="auto" w:sz="6" w:space="0"/>
              <w:bottom w:val="single" w:color="auto" w:sz="12"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　</w:t>
            </w:r>
          </w:p>
        </w:tc>
        <w:tc>
          <w:tcPr>
            <w:tcW w:w="2835" w:type="dxa"/>
            <w:gridSpan w:val="5"/>
            <w:tcBorders>
              <w:top w:val="single" w:color="auto" w:sz="6" w:space="0"/>
              <w:bottom w:val="single" w:color="auto" w:sz="12"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　</w:t>
            </w:r>
          </w:p>
        </w:tc>
        <w:tc>
          <w:tcPr>
            <w:tcW w:w="1120" w:type="dxa"/>
            <w:tcBorders>
              <w:top w:val="single" w:color="auto" w:sz="6" w:space="0"/>
              <w:bottom w:val="single" w:color="auto" w:sz="12" w:space="0"/>
            </w:tcBorders>
            <w:shd w:val="clear" w:color="auto" w:fill="auto"/>
            <w:vAlign w:val="center"/>
          </w:tcPr>
          <w:p>
            <w:pPr>
              <w:widowControl/>
              <w:spacing w:line="240" w:lineRule="atLeast"/>
              <w:jc w:val="center"/>
              <w:rPr>
                <w:rFonts w:ascii="宋体" w:hAnsi="宋体" w:cs="宋体"/>
                <w:kern w:val="0"/>
                <w:sz w:val="20"/>
                <w:szCs w:val="20"/>
              </w:rPr>
            </w:pPr>
            <w:r>
              <w:rPr>
                <w:rFonts w:hint="eastAsia" w:ascii="宋体" w:hAnsi="宋体" w:cs="宋体"/>
                <w:kern w:val="0"/>
                <w:sz w:val="20"/>
                <w:szCs w:val="20"/>
              </w:rPr>
              <w:t>——</w:t>
            </w:r>
          </w:p>
        </w:tc>
      </w:tr>
    </w:tbl>
    <w:p>
      <w:pPr>
        <w:pStyle w:val="10"/>
        <w:sectPr>
          <w:pgSz w:w="11906" w:h="16838"/>
          <w:pgMar w:top="1418" w:right="1418" w:bottom="992" w:left="1418" w:header="851" w:footer="992" w:gutter="113"/>
          <w:cols w:space="425" w:num="1"/>
          <w:docGrid w:linePitch="312" w:charSpace="0"/>
        </w:sectPr>
      </w:pPr>
    </w:p>
    <w:p>
      <w:pPr>
        <w:pStyle w:val="8"/>
        <w:spacing w:before="240" w:after="360"/>
      </w:pPr>
      <w:bookmarkStart w:id="17" w:name="_Toc393471100"/>
      <w:bookmarkStart w:id="18" w:name="_Toc499456554"/>
      <w:r>
        <w:t>A</w:t>
      </w:r>
      <w:r>
        <w:rPr>
          <w:rFonts w:hint="eastAsia"/>
        </w:rPr>
        <w:t>0</w:t>
      </w:r>
      <w:r>
        <w:t>0000</w:t>
      </w:r>
      <w:r>
        <w:rPr>
          <w:rFonts w:hint="eastAsia"/>
        </w:rPr>
        <w:t>0</w:t>
      </w:r>
      <w:r>
        <w:tab/>
      </w:r>
      <w:r>
        <w:rPr>
          <w:rFonts w:hint="eastAsia"/>
        </w:rPr>
        <w:t>《企业基础信息表》</w:t>
      </w:r>
      <w:bookmarkEnd w:id="17"/>
      <w:r>
        <w:rPr>
          <w:rFonts w:hint="eastAsia"/>
        </w:rPr>
        <w:t>填报说明</w:t>
      </w:r>
      <w:bookmarkEnd w:id="18"/>
    </w:p>
    <w:p>
      <w:pPr>
        <w:pStyle w:val="9"/>
      </w:pPr>
      <w:r>
        <w:rPr>
          <w:rFonts w:hint="eastAsia"/>
        </w:rPr>
        <w:t>纳税人在填报申报表前，首先填报基础信息表，为后续申报提供指引。基础信息表主要内容包括基本信息、重组事项、企业主要股东及分红情况等部分。有关项目填报说明如下：</w:t>
      </w:r>
    </w:p>
    <w:p>
      <w:pPr>
        <w:pStyle w:val="9"/>
      </w:pPr>
      <w:r>
        <w:t>1</w:t>
      </w:r>
      <w:r>
        <w:rPr>
          <w:rFonts w:hint="eastAsia"/>
        </w:rPr>
        <w:t>.“101汇总纳税企业”：纳税人根据情况选择。纳税人为《国家税务总局关于印发&lt;跨地区经营汇总纳税企业所得税征收管理办法&gt;的公告》（国家税务总局公告2012第57号）规定的跨省、自治区、直辖市和计划单列市设立不具有法人资格分支机构的跨地区经营汇总纳税企业总机构，选择“总机构（跨省）——适用《跨地区经营汇总纳税企业所得税征收管理办法》”；</w:t>
      </w:r>
    </w:p>
    <w:p>
      <w:pPr>
        <w:pStyle w:val="9"/>
      </w:pPr>
      <w:r>
        <w:rPr>
          <w:rFonts w:hint="eastAsia"/>
        </w:rPr>
        <w:t>纳税人为《国家税务总局关于印发&lt;跨地区经营汇总纳税企业所得税征收管理办法&gt;的公告》（国家税务总局公告2012第57号）第二条规定的不适用该公告的总机构，选择“总机构（跨省）——不适用《跨地区经营汇总纳税企业所得税征收管理办法》”；</w:t>
      </w:r>
    </w:p>
    <w:p>
      <w:pPr>
        <w:pStyle w:val="9"/>
      </w:pPr>
      <w:r>
        <w:rPr>
          <w:rFonts w:hint="eastAsia"/>
        </w:rPr>
        <w:t>纳税人为仅在同一省、自治区、直辖市和计划单列市（以下称同一地区）内设立不具有法人资格分支机构的跨地区经营汇总纳税企业总机构，选择“总机构（省内）”；</w:t>
      </w:r>
    </w:p>
    <w:p>
      <w:pPr>
        <w:pStyle w:val="9"/>
      </w:pPr>
      <w:r>
        <w:rPr>
          <w:rFonts w:hint="eastAsia"/>
        </w:rPr>
        <w:t>纳税人根据相关政策规定为须进行完整年度申报并按比例纳税的分支机构，选择“分支机构（须进行完整年度申报并按比例纳税）”，并填写就地缴纳比例；</w:t>
      </w:r>
    </w:p>
    <w:p>
      <w:pPr>
        <w:pStyle w:val="9"/>
      </w:pPr>
      <w:r>
        <w:rPr>
          <w:rFonts w:hint="eastAsia"/>
        </w:rPr>
        <w:t>纳税人根据相关政策规定为须进行完整年度申报但不就地缴纳所得税的分支机构，选择“分支机构（须进行完整年度申报但不就地缴纳）”；</w:t>
      </w:r>
    </w:p>
    <w:p>
      <w:pPr>
        <w:pStyle w:val="9"/>
      </w:pPr>
      <w:r>
        <w:rPr>
          <w:rFonts w:hint="eastAsia"/>
        </w:rPr>
        <w:t>不是汇总纳税企业的纳税人选择“否”。</w:t>
      </w:r>
    </w:p>
    <w:p>
      <w:pPr>
        <w:pStyle w:val="9"/>
      </w:pPr>
      <w:r>
        <w:t>2</w:t>
      </w:r>
      <w:r>
        <w:rPr>
          <w:rFonts w:hint="eastAsia"/>
        </w:rPr>
        <w:t>.“10</w:t>
      </w:r>
      <w:r>
        <w:t>2</w:t>
      </w:r>
      <w:r>
        <w:rPr>
          <w:rFonts w:hint="eastAsia"/>
        </w:rPr>
        <w:t>所属行业明细代码”：根据《国民经济行业分类》标准填报纳税人的行业代码。工业企业所属行业代码为06**至4690，不包括建筑业。所属行业代码为7010的房地产开发经营企业，可以填报表A105010中第21行至第29行。</w:t>
      </w:r>
    </w:p>
    <w:p>
      <w:pPr>
        <w:pStyle w:val="9"/>
      </w:pPr>
      <w:r>
        <w:t>3</w:t>
      </w:r>
      <w:r>
        <w:rPr>
          <w:rFonts w:hint="eastAsia"/>
        </w:rPr>
        <w:t>.“10</w:t>
      </w:r>
      <w:r>
        <w:t>3</w:t>
      </w:r>
      <w:r>
        <w:rPr>
          <w:rFonts w:hint="eastAsia"/>
        </w:rPr>
        <w:t>资产总额（万元）”：填报纳税人全年资产总额季度平均数，单位为万元，保留小数点后2位。资产总额季度平均数，具体计算公式如下：</w:t>
      </w:r>
    </w:p>
    <w:p>
      <w:pPr>
        <w:pStyle w:val="9"/>
      </w:pPr>
      <w:r>
        <w:rPr>
          <w:rFonts w:hint="eastAsia"/>
        </w:rPr>
        <w:t>季度平均值＝（季初值＋季末值）÷2</w:t>
      </w:r>
    </w:p>
    <w:p>
      <w:pPr>
        <w:pStyle w:val="9"/>
      </w:pPr>
      <w:r>
        <w:rPr>
          <w:rFonts w:hint="eastAsia"/>
        </w:rPr>
        <w:t>全年季度平均值＝全年各季度平均值之和÷4</w:t>
      </w:r>
    </w:p>
    <w:p>
      <w:pPr>
        <w:pStyle w:val="9"/>
      </w:pPr>
      <w:r>
        <w:rPr>
          <w:rFonts w:hint="eastAsia"/>
        </w:rPr>
        <w:t>年度中间开业或者终止经营活动的，以其实际经营期作为一个纳税年度确定上述相关指标。</w:t>
      </w:r>
    </w:p>
    <w:p>
      <w:pPr>
        <w:pStyle w:val="9"/>
      </w:pPr>
      <w:r>
        <w:t>4</w:t>
      </w:r>
      <w:r>
        <w:rPr>
          <w:rFonts w:hint="eastAsia"/>
        </w:rPr>
        <w:t>.“104从业人数”：填报纳税人全年平均从业人数，从业人数是指与企业建立劳动关系的职工人数和企业接受的劳务派遣用工人数之和，依据和计算方法同“资产总额”口径。</w:t>
      </w:r>
    </w:p>
    <w:p>
      <w:pPr>
        <w:pStyle w:val="9"/>
      </w:pPr>
      <w:r>
        <w:t>5</w:t>
      </w:r>
      <w:r>
        <w:rPr>
          <w:rFonts w:hint="eastAsia"/>
        </w:rPr>
        <w:t>.“10</w:t>
      </w:r>
      <w:r>
        <w:t>5</w:t>
      </w:r>
      <w:r>
        <w:rPr>
          <w:rFonts w:hint="eastAsia"/>
        </w:rPr>
        <w:t>国家限制或禁止行业”：纳税人从事国家限制和禁止行业，选择“是”，其他选择“否”。</w:t>
      </w:r>
    </w:p>
    <w:p>
      <w:pPr>
        <w:pStyle w:val="9"/>
      </w:pPr>
      <w:r>
        <w:t>6</w:t>
      </w:r>
      <w:r>
        <w:rPr>
          <w:rFonts w:hint="eastAsia"/>
        </w:rPr>
        <w:t>.“106非营利组织”：非营利组织选择“是”，其余企业选择“否”。</w:t>
      </w:r>
    </w:p>
    <w:p>
      <w:pPr>
        <w:pStyle w:val="9"/>
      </w:pPr>
      <w:r>
        <w:t>7</w:t>
      </w:r>
      <w:r>
        <w:rPr>
          <w:rFonts w:hint="eastAsia"/>
        </w:rPr>
        <w:t>.“10</w:t>
      </w:r>
      <w:r>
        <w:t>7</w:t>
      </w:r>
      <w:r>
        <w:rPr>
          <w:rFonts w:hint="eastAsia"/>
        </w:rPr>
        <w:t>存在境外关联交易”：纳税人存在境外关联交易，选择“是”，不存在选择“否”。</w:t>
      </w:r>
    </w:p>
    <w:p>
      <w:pPr>
        <w:pStyle w:val="9"/>
      </w:pPr>
      <w:r>
        <w:t>8</w:t>
      </w:r>
      <w:r>
        <w:rPr>
          <w:rFonts w:hint="eastAsia"/>
        </w:rPr>
        <w:t>.“10</w:t>
      </w:r>
      <w:r>
        <w:t>8</w:t>
      </w:r>
      <w:r>
        <w:rPr>
          <w:rFonts w:hint="eastAsia"/>
        </w:rPr>
        <w:t>上市公司”：纳税人根据情况，在境内上市的选择“境内”；在境外（含香港）上市的选择“境外”；其他选择“否”。</w:t>
      </w:r>
    </w:p>
    <w:p>
      <w:pPr>
        <w:pStyle w:val="9"/>
      </w:pPr>
      <w:r>
        <w:t>9</w:t>
      </w:r>
      <w:r>
        <w:rPr>
          <w:rFonts w:hint="eastAsia"/>
        </w:rPr>
        <w:t>.“109从事股权投资业务”：从事股权投资业务的企业（包括集团公司总部、创业投资企业等），选择“是”，其余企业选择“否”。</w:t>
      </w:r>
    </w:p>
    <w:p>
      <w:pPr>
        <w:pStyle w:val="9"/>
      </w:pPr>
      <w:r>
        <w:t>10</w:t>
      </w:r>
      <w:r>
        <w:rPr>
          <w:rFonts w:hint="eastAsia"/>
        </w:rPr>
        <w:t>．“110适用的会计准则或会计制度”：纳税人根据采用的会计准则或会计制度选择。</w:t>
      </w:r>
    </w:p>
    <w:p>
      <w:pPr>
        <w:pStyle w:val="9"/>
      </w:pPr>
      <w:r>
        <w:rPr>
          <w:rFonts w:hint="eastAsia"/>
        </w:rPr>
        <w:t>1</w:t>
      </w:r>
      <w:r>
        <w:t>1</w:t>
      </w:r>
      <w:r>
        <w:rPr>
          <w:rFonts w:hint="eastAsia"/>
        </w:rPr>
        <w:t>.“201发生资产（股权）划转特殊性税务处理事项”：企业根据情况，发生资产（股权）划转特殊性税务处理事项，选择“是”，并填报表A105100；未发生选择“否”。</w:t>
      </w:r>
    </w:p>
    <w:p>
      <w:pPr>
        <w:pStyle w:val="9"/>
      </w:pPr>
      <w:r>
        <w:rPr>
          <w:rFonts w:hint="eastAsia"/>
        </w:rPr>
        <w:t>1</w:t>
      </w:r>
      <w:r>
        <w:t>2</w:t>
      </w:r>
      <w:r>
        <w:rPr>
          <w:rFonts w:hint="eastAsia"/>
        </w:rPr>
        <w:t>.“202发生非货币性资产投资递延纳税事项”：企业根据情况，发生非货币性资产投资递延纳税事项，选择“是”，并填报表A105100；未发生选择“否”。</w:t>
      </w:r>
    </w:p>
    <w:p>
      <w:pPr>
        <w:pStyle w:val="9"/>
      </w:pPr>
      <w:r>
        <w:rPr>
          <w:rFonts w:hint="eastAsia"/>
        </w:rPr>
        <w:t>1</w:t>
      </w:r>
      <w:r>
        <w:t>3</w:t>
      </w:r>
      <w:r>
        <w:rPr>
          <w:rFonts w:hint="eastAsia"/>
        </w:rPr>
        <w:t>.“203发生技术入股递延纳税事项”：企业发生技术入股递延纳税事项，选择“是”，并填报表A105100；未发生选择“否”。</w:t>
      </w:r>
    </w:p>
    <w:p>
      <w:pPr>
        <w:pStyle w:val="9"/>
      </w:pPr>
      <w:r>
        <w:rPr>
          <w:rFonts w:hint="eastAsia"/>
        </w:rPr>
        <w:t>1</w:t>
      </w:r>
      <w:r>
        <w:t>4</w:t>
      </w:r>
      <w:r>
        <w:rPr>
          <w:rFonts w:hint="eastAsia"/>
        </w:rPr>
        <w:t>.“204发生企业重组事项”：企业发生重组事项，根据情况选择税务处理方式，并填报20</w:t>
      </w:r>
      <w:r>
        <w:t>4</w:t>
      </w:r>
      <w:r>
        <w:rPr>
          <w:rFonts w:hint="eastAsia"/>
        </w:rPr>
        <w:t>-</w:t>
      </w:r>
      <w:r>
        <w:t>1</w:t>
      </w:r>
      <w:r>
        <w:rPr>
          <w:rFonts w:hint="eastAsia"/>
        </w:rPr>
        <w:t>至20</w:t>
      </w:r>
      <w:r>
        <w:t>4</w:t>
      </w:r>
      <w:r>
        <w:rPr>
          <w:rFonts w:hint="eastAsia"/>
        </w:rPr>
        <w:t>-</w:t>
      </w:r>
      <w:r>
        <w:t>4</w:t>
      </w:r>
      <w:r>
        <w:rPr>
          <w:rFonts w:hint="eastAsia"/>
        </w:rPr>
        <w:t>及表A105100；未发生选择“否”。</w:t>
      </w:r>
    </w:p>
    <w:p>
      <w:pPr>
        <w:pStyle w:val="9"/>
      </w:pPr>
      <w:r>
        <w:rPr>
          <w:rFonts w:hint="eastAsia"/>
        </w:rPr>
        <w:t>1</w:t>
      </w:r>
      <w:r>
        <w:t>5</w:t>
      </w:r>
      <w:r>
        <w:rPr>
          <w:rFonts w:hint="eastAsia"/>
        </w:rPr>
        <w:t>.“204-1重组开始时间”：填报企业本次重组交易开始时间。</w:t>
      </w:r>
    </w:p>
    <w:p>
      <w:pPr>
        <w:pStyle w:val="9"/>
      </w:pPr>
      <w:r>
        <w:rPr>
          <w:rFonts w:hint="eastAsia"/>
        </w:rPr>
        <w:t>1</w:t>
      </w:r>
      <w:r>
        <w:t>6</w:t>
      </w:r>
      <w:r>
        <w:rPr>
          <w:rFonts w:hint="eastAsia"/>
        </w:rPr>
        <w:t>.“204-2重组完成时间”：填报企业本次重组完成时间或预计完成时间。</w:t>
      </w:r>
    </w:p>
    <w:p>
      <w:pPr>
        <w:pStyle w:val="9"/>
      </w:pPr>
      <w:r>
        <w:rPr>
          <w:rFonts w:hint="eastAsia"/>
        </w:rPr>
        <w:t>1</w:t>
      </w:r>
      <w:r>
        <w:t>7</w:t>
      </w:r>
      <w:r>
        <w:rPr>
          <w:rFonts w:hint="eastAsia"/>
        </w:rPr>
        <w:t>.“204-3重组交易类型”：企业根据重组交易类型，选择填报“法律形式改变”“债务重组”“股权收购”“资产收购”“合并”“分立”。</w:t>
      </w:r>
    </w:p>
    <w:p>
      <w:pPr>
        <w:pStyle w:val="9"/>
      </w:pPr>
      <w:r>
        <w:rPr>
          <w:rFonts w:hint="eastAsia"/>
        </w:rPr>
        <w:t>1</w:t>
      </w:r>
      <w:r>
        <w:t>8</w:t>
      </w:r>
      <w:r>
        <w:rPr>
          <w:rFonts w:hint="eastAsia"/>
        </w:rPr>
        <w:t>.“204-4企业在重组业务中所属当事方类型”：企业选择填报在重组业务中所属当事方类型。“交易类型”选择“债务重组”的，选择填报“债务人”或“债权人”；“交易类型”选择“股权收购”的，选择填报“收购方”“转让方”或“被收购企业”；“交易类型”选择“资产收购”的，选择填报“收购方”或“转让方”；“交易类型”选择“合并”的，选择填报“合并企业”“被合并企业”或“被合并企业股东”；“交易类型”选择“分立”的，选择填报“分立企业”“被分立企业”或“被分立企业股东”。</w:t>
      </w:r>
    </w:p>
    <w:p>
      <w:pPr>
        <w:pStyle w:val="9"/>
      </w:pPr>
      <w:r>
        <w:t>19</w:t>
      </w:r>
      <w:r>
        <w:rPr>
          <w:rFonts w:hint="eastAsia"/>
        </w:rPr>
        <w:t>．“300企业主要股东及分红情况”，填报本企业投资比例前10位的股东情况。包括股东名称，证件种类（营业执照、税务登记证、组织机构代码证、身份证、护照等），证件号码（统一社会信用代码、纳税人识别号、组织机构代码号、身份证号、护照号等），投资比例，当年（决议日）分配的股息、红利等权益性投资收益金额，国籍（注册地址）。超过十位的其余股东，有关数据合计后填在“其余股东合计”行。</w:t>
      </w:r>
    </w:p>
    <w:p>
      <w:pPr>
        <w:pStyle w:val="9"/>
      </w:pPr>
      <w:r>
        <w:rPr>
          <w:rFonts w:hint="eastAsia"/>
        </w:rPr>
        <w:t>企业主要股东为国外非居民企业的，证件种类和证件号码可不填写。</w:t>
      </w:r>
    </w:p>
    <w:p>
      <w:pPr>
        <w:pStyle w:val="9"/>
        <w:rPr>
          <w:color w:val="000000"/>
        </w:rPr>
        <w:sectPr>
          <w:pgSz w:w="11906" w:h="16838"/>
          <w:pgMar w:top="1985" w:right="1418" w:bottom="1928" w:left="1418" w:header="851" w:footer="992" w:gutter="113"/>
          <w:cols w:space="425" w:num="1"/>
          <w:docGrid w:linePitch="312" w:charSpace="0"/>
        </w:sectPr>
      </w:pPr>
    </w:p>
    <w:p>
      <w:pPr>
        <w:pStyle w:val="10"/>
      </w:pPr>
      <w:bookmarkStart w:id="19" w:name="_Toc499456555"/>
      <w:r>
        <w:t>A100000</w:t>
      </w:r>
      <w:r>
        <w:tab/>
      </w:r>
      <w:r>
        <w:rPr>
          <w:rFonts w:hint="eastAsia"/>
        </w:rPr>
        <w:t>中华人民共和国企业所得税年度纳税申报表（A类）</w:t>
      </w:r>
      <w:bookmarkEnd w:id="19"/>
    </w:p>
    <w:tbl>
      <w:tblPr>
        <w:tblStyle w:val="7"/>
        <w:tblW w:w="1005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0"/>
        <w:gridCol w:w="620"/>
        <w:gridCol w:w="7392"/>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行次</w:t>
            </w:r>
          </w:p>
        </w:tc>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类别</w:t>
            </w:r>
          </w:p>
        </w:tc>
        <w:tc>
          <w:tcPr>
            <w:tcW w:w="7392"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        目</w:t>
            </w:r>
          </w:p>
        </w:tc>
        <w:tc>
          <w:tcPr>
            <w:tcW w:w="1418"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    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20" w:type="dxa"/>
            <w:vMerge w:val="restart"/>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利润总额计算</w:t>
            </w:r>
          </w:p>
        </w:tc>
        <w:tc>
          <w:tcPr>
            <w:tcW w:w="739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一、营业收入(填写A101010\101020\103000)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减：营业成本(填写A102010\102020\103000)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减：税金及附加</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减：销售费用(填写A104000)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减：管理费用(填写</w:t>
            </w:r>
            <w:r>
              <w:rPr>
                <w:rFonts w:hint="eastAsia" w:ascii="宋体" w:hAnsi="宋体" w:cs="宋体"/>
                <w:kern w:val="0"/>
                <w:sz w:val="20"/>
                <w:szCs w:val="20"/>
              </w:rPr>
              <w:t>A104000)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减：财务费用(填写</w:t>
            </w:r>
            <w:r>
              <w:rPr>
                <w:rFonts w:hint="eastAsia" w:ascii="宋体" w:hAnsi="宋体" w:cs="宋体"/>
                <w:kern w:val="0"/>
                <w:sz w:val="20"/>
                <w:szCs w:val="20"/>
              </w:rPr>
              <w:t>A104000)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减：资产减值损失</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加：公允价值变动收益</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kern w:val="0"/>
                <w:sz w:val="20"/>
                <w:szCs w:val="20"/>
              </w:rPr>
              <w:t>加：投资收益</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二、营业利润(1-2-3-4-5-6-7+8+9)</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加：营业外收入(填写A101010\101020\103000)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减：营业外支出(填写A102010\102020\103000)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三、利润总额（10+11-12）</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620" w:type="dxa"/>
            <w:vMerge w:val="restart"/>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应纳税所得额计算</w:t>
            </w: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减：境外所得（填写A108010）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加：纳税调整增加额（填写A105000）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减：纳税调整减少额（填写A105000）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减：免税、减计收入及加计扣除（填写A107010）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加：境外应税所得抵减境内亏损（填写A108000）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四、纳税调整后所得（13-14+15-16-17+18）</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减：所得减免（填写A107020）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减：弥补以前年度亏损（填写A106000）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减：抵扣应纳税所得额（填写A107030）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五、应纳税所得额（19-20-21-22）</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620" w:type="dxa"/>
            <w:vMerge w:val="restart"/>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应纳税额计算</w:t>
            </w:r>
          </w:p>
        </w:tc>
        <w:tc>
          <w:tcPr>
            <w:tcW w:w="739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税率（25%）</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六、应纳所得税额（23×24）</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减：减免所得税额（填写A107040）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减：抵免所得税额（填写A107050）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七、应纳税额（25-26-27）</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加：境外所得应纳所得税额（填写A108000）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减：境外所得抵免所得税额（填写A108000）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八、实际应纳所得税额（28+29-30）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减：本年累计实际已缴纳的所得税额</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九、本年应补（退）所得税额（31-32）</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其中：总机构分摊本年应补（退）所得税额(填写A109000)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1000" w:firstLineChars="500"/>
              <w:jc w:val="left"/>
              <w:rPr>
                <w:rFonts w:ascii="宋体" w:hAnsi="宋体" w:cs="宋体"/>
                <w:color w:val="000000"/>
                <w:kern w:val="0"/>
                <w:sz w:val="20"/>
                <w:szCs w:val="20"/>
              </w:rPr>
            </w:pPr>
            <w:r>
              <w:rPr>
                <w:rFonts w:hint="eastAsia" w:ascii="宋体" w:hAnsi="宋体" w:cs="宋体"/>
                <w:kern w:val="0"/>
                <w:sz w:val="20"/>
                <w:szCs w:val="20"/>
              </w:rPr>
              <w:t>财政集中分配本年应补（退）所得税额(填写A109000)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620" w:type="dxa"/>
            <w:vMerge w:val="continue"/>
            <w:shd w:val="clear" w:color="auto" w:fill="auto"/>
            <w:vAlign w:val="center"/>
          </w:tcPr>
          <w:p>
            <w:pPr>
              <w:widowControl/>
              <w:jc w:val="left"/>
              <w:rPr>
                <w:rFonts w:ascii="宋体" w:hAnsi="宋体" w:cs="宋体"/>
                <w:color w:val="000000"/>
                <w:kern w:val="0"/>
                <w:sz w:val="20"/>
                <w:szCs w:val="20"/>
              </w:rPr>
            </w:pPr>
          </w:p>
        </w:tc>
        <w:tc>
          <w:tcPr>
            <w:tcW w:w="7392" w:type="dxa"/>
            <w:shd w:val="clear" w:color="auto" w:fill="auto"/>
            <w:vAlign w:val="center"/>
          </w:tcPr>
          <w:p>
            <w:pPr>
              <w:widowControl/>
              <w:ind w:firstLine="1000" w:firstLineChars="500"/>
              <w:jc w:val="left"/>
              <w:rPr>
                <w:rFonts w:ascii="宋体" w:hAnsi="宋体" w:cs="宋体"/>
                <w:color w:val="000000"/>
                <w:kern w:val="0"/>
                <w:sz w:val="20"/>
                <w:szCs w:val="20"/>
              </w:rPr>
            </w:pPr>
            <w:r>
              <w:rPr>
                <w:rFonts w:hint="eastAsia" w:ascii="宋体" w:hAnsi="宋体" w:cs="宋体"/>
                <w:kern w:val="0"/>
                <w:sz w:val="20"/>
                <w:szCs w:val="20"/>
              </w:rPr>
              <w:t>总机构主体生产经营部门分摊本年应补（退）所得税额(填写A109000)</w:t>
            </w:r>
          </w:p>
        </w:tc>
        <w:tc>
          <w:tcPr>
            <w:tcW w:w="1418"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bl>
    <w:p>
      <w:pPr>
        <w:pStyle w:val="9"/>
        <w:rPr>
          <w:color w:val="000000"/>
        </w:rPr>
      </w:pPr>
    </w:p>
    <w:p>
      <w:pPr>
        <w:pStyle w:val="2"/>
        <w:spacing w:before="0" w:after="0" w:line="360" w:lineRule="auto"/>
        <w:jc w:val="center"/>
        <w:rPr>
          <w:rFonts w:ascii="宋体" w:hAnsi="宋体" w:cs="宋体"/>
          <w:color w:val="000000"/>
          <w:sz w:val="28"/>
          <w:szCs w:val="28"/>
        </w:rPr>
        <w:sectPr>
          <w:footerReference r:id="rId6" w:type="first"/>
          <w:pgSz w:w="11906" w:h="16838"/>
          <w:pgMar w:top="1418" w:right="1418" w:bottom="1276" w:left="1418" w:header="851" w:footer="992" w:gutter="113"/>
          <w:cols w:space="425" w:num="1"/>
          <w:titlePg/>
          <w:docGrid w:linePitch="312" w:charSpace="0"/>
        </w:sectPr>
      </w:pPr>
      <w:bookmarkStart w:id="20" w:name="_Toc267334863"/>
    </w:p>
    <w:p>
      <w:pPr>
        <w:pStyle w:val="8"/>
        <w:spacing w:before="240" w:after="360"/>
      </w:pPr>
      <w:bookmarkStart w:id="21" w:name="_Toc499456556"/>
      <w:r>
        <w:t>A10000</w:t>
      </w:r>
      <w:r>
        <w:rPr>
          <w:rFonts w:hint="eastAsia"/>
        </w:rPr>
        <w:t>0</w:t>
      </w:r>
      <w:r>
        <w:tab/>
      </w:r>
      <w:r>
        <w:rPr>
          <w:rFonts w:hint="eastAsia"/>
        </w:rPr>
        <w:t>《中华人民共和国企业所得税年度纳税申报表（</w:t>
      </w:r>
      <w:r>
        <w:t>A</w:t>
      </w:r>
      <w:r>
        <w:rPr>
          <w:rFonts w:hint="eastAsia"/>
        </w:rPr>
        <w:t>类）》</w:t>
      </w:r>
      <w:r>
        <w:br w:type="textWrapping"/>
      </w:r>
      <w:r>
        <w:rPr>
          <w:rFonts w:hint="eastAsia"/>
        </w:rPr>
        <w:t>填报说明</w:t>
      </w:r>
      <w:bookmarkEnd w:id="20"/>
      <w:bookmarkEnd w:id="21"/>
    </w:p>
    <w:p>
      <w:pPr>
        <w:pStyle w:val="9"/>
        <w:rPr>
          <w:color w:val="000000"/>
        </w:rPr>
      </w:pPr>
      <w:bookmarkStart w:id="22" w:name="_Toc393480183"/>
      <w:r>
        <w:rPr>
          <w:rFonts w:hint="eastAsia"/>
          <w:color w:val="000000"/>
        </w:rPr>
        <w:t>本表为企业所得税年度纳税申报表主表，企业应该根据《中华人民共和国企业所得税法》及其实施条例（以下简称税法）、相关税收政策，以及国家统一会计制度（企业会计准则、小企业会计准则、企业会计制度、事业单位会计准则和民间非营利组织会计制度等）的规定，计算填报纳税人利润总额、应纳税所得额和应纳税额等有关项目。</w:t>
      </w:r>
    </w:p>
    <w:p>
      <w:pPr>
        <w:pStyle w:val="9"/>
        <w:rPr>
          <w:color w:val="000000"/>
        </w:rPr>
      </w:pPr>
      <w:r>
        <w:rPr>
          <w:rFonts w:hint="eastAsia"/>
          <w:color w:val="000000"/>
        </w:rPr>
        <w:t>企业在计算应纳税所得额及应纳所得税时，企业会计处理与税收规定不一致的，应当按照税收规定计算。税收规定不明确的，在没有明确规定之前，暂按国家统一会计制度计算。</w:t>
      </w:r>
    </w:p>
    <w:p>
      <w:pPr>
        <w:pStyle w:val="11"/>
        <w:ind w:firstLine="482"/>
        <w:rPr>
          <w:color w:val="000000"/>
        </w:rPr>
      </w:pPr>
      <w:r>
        <w:rPr>
          <w:rFonts w:hint="eastAsia"/>
          <w:color w:val="000000"/>
        </w:rPr>
        <w:t>一、有关项目填报说明</w:t>
      </w:r>
    </w:p>
    <w:p>
      <w:pPr>
        <w:pStyle w:val="12"/>
      </w:pPr>
      <w:r>
        <w:rPr>
          <w:rFonts w:hint="eastAsia"/>
        </w:rPr>
        <w:t>（一）表体项目</w:t>
      </w:r>
    </w:p>
    <w:p>
      <w:pPr>
        <w:pStyle w:val="9"/>
        <w:rPr>
          <w:color w:val="000000"/>
        </w:rPr>
      </w:pPr>
      <w:r>
        <w:rPr>
          <w:rFonts w:hint="eastAsia"/>
          <w:color w:val="000000"/>
        </w:rPr>
        <w:t>本表是在纳税人会计利润总额的基础上，加减纳税调整等金额后计算出“纳税调整后所得”。会计与税法的差异（包括收入类、扣除类、资产类等差异）通过《纳税调整项目明细表》(A105000）集中填报。</w:t>
      </w:r>
    </w:p>
    <w:p>
      <w:pPr>
        <w:pStyle w:val="9"/>
        <w:rPr>
          <w:color w:val="000000"/>
        </w:rPr>
      </w:pPr>
      <w:r>
        <w:rPr>
          <w:rFonts w:hint="eastAsia"/>
          <w:color w:val="000000"/>
        </w:rPr>
        <w:t>本表包括利润总额计算、应纳税所得额计算、应纳税额计算三个部分。</w:t>
      </w:r>
    </w:p>
    <w:p>
      <w:pPr>
        <w:pStyle w:val="9"/>
        <w:rPr>
          <w:color w:val="000000"/>
        </w:rPr>
      </w:pPr>
      <w:r>
        <w:rPr>
          <w:rFonts w:hint="eastAsia"/>
          <w:color w:val="000000"/>
        </w:rPr>
        <w:t>1.“利润总额计算”中的项目，按照国家统一会计制度规定计算填报。实行企业会计准则、小企业会计准则、企业会计制度、分行业会计制度纳税人其数据直接取自利润表；实行事业单位会计准则的纳税人其数据取自收入支出表；实行民间非营利组织会计制度纳税人其数据取自业务活动表；实行其他国家统一会计制度的纳税人，根据本表项目进行分析填报。</w:t>
      </w:r>
    </w:p>
    <w:p>
      <w:pPr>
        <w:pStyle w:val="9"/>
        <w:rPr>
          <w:color w:val="000000"/>
        </w:rPr>
      </w:pPr>
      <w:r>
        <w:rPr>
          <w:rFonts w:hint="eastAsia"/>
          <w:color w:val="000000"/>
        </w:rPr>
        <w:t>2.“应纳税所得额计算”和“应纳税额计算”中的项目，除根据主表逻辑关系计算的外，通过附表相应栏次填报。</w:t>
      </w:r>
    </w:p>
    <w:p>
      <w:pPr>
        <w:pStyle w:val="12"/>
        <w:rPr>
          <w:color w:val="000000"/>
        </w:rPr>
      </w:pPr>
      <w:r>
        <w:rPr>
          <w:rFonts w:hint="eastAsia"/>
          <w:color w:val="000000"/>
        </w:rPr>
        <w:t>（二）行次说明</w:t>
      </w:r>
    </w:p>
    <w:p>
      <w:pPr>
        <w:pStyle w:val="9"/>
      </w:pPr>
      <w:r>
        <w:rPr>
          <w:rFonts w:hint="eastAsia"/>
          <w:color w:val="000000"/>
        </w:rPr>
        <w:t>第1-13行</w:t>
      </w:r>
      <w:r>
        <w:rPr>
          <w:rFonts w:hint="eastAsia"/>
        </w:rPr>
        <w:t>参照国家统一会计制度规定填写。</w:t>
      </w:r>
    </w:p>
    <w:p>
      <w:pPr>
        <w:pStyle w:val="9"/>
      </w:pPr>
      <w:r>
        <w:t>1.</w:t>
      </w:r>
      <w:r>
        <w:rPr>
          <w:rFonts w:hint="eastAsia"/>
        </w:rPr>
        <w:t>第</w:t>
      </w:r>
      <w:r>
        <w:t>1</w:t>
      </w:r>
      <w:r>
        <w:rPr>
          <w:rFonts w:hint="eastAsia"/>
        </w:rPr>
        <w:t>行“营业收入”：填报纳税人主要经营业务和其他经营业务取得的收入总额。本行根据“主营业务收入”和“其他业务收入”的数额填报。一般企业纳税人根据《一般企业收入明细表》（</w:t>
      </w:r>
      <w:r>
        <w:t>A10101</w:t>
      </w:r>
      <w:r>
        <w:rPr>
          <w:rFonts w:hint="eastAsia"/>
        </w:rPr>
        <w:t>0）填报；金融企业纳税人根据《金融企业收入明细表》</w:t>
      </w:r>
      <w:r>
        <w:t>(A10102</w:t>
      </w:r>
      <w:r>
        <w:rPr>
          <w:rFonts w:hint="eastAsia"/>
        </w:rPr>
        <w:t>0</w:t>
      </w:r>
      <w:r>
        <w:t>)</w:t>
      </w:r>
      <w:r>
        <w:rPr>
          <w:rFonts w:hint="eastAsia"/>
        </w:rPr>
        <w:t>填报；事业单位、社会团体、民办非企业单位、非营利组织等纳税人根据《事业单位、民间非营利组织收入、支出明细表》</w:t>
      </w:r>
      <w:r>
        <w:t>(A103000)</w:t>
      </w:r>
      <w:r>
        <w:rPr>
          <w:rFonts w:hint="eastAsia"/>
        </w:rPr>
        <w:t>填报。</w:t>
      </w:r>
    </w:p>
    <w:p>
      <w:pPr>
        <w:pStyle w:val="9"/>
      </w:pPr>
      <w:r>
        <w:t>2.</w:t>
      </w:r>
      <w:r>
        <w:rPr>
          <w:rFonts w:hint="eastAsia"/>
        </w:rPr>
        <w:t>第</w:t>
      </w:r>
      <w:r>
        <w:t>2</w:t>
      </w:r>
      <w:r>
        <w:rPr>
          <w:rFonts w:hint="eastAsia"/>
        </w:rPr>
        <w:t>行“营业成本”项目：填报纳税人主要经营业务和其他经营业务发生的成本总额。本行根据“主营业务成本”和“其他业务成本”的数额填报。一般企业纳税人根据《一般企业成本支出明细表》</w:t>
      </w:r>
      <w:r>
        <w:t>(A10201</w:t>
      </w:r>
      <w:r>
        <w:rPr>
          <w:rFonts w:hint="eastAsia"/>
        </w:rPr>
        <w:t>0</w:t>
      </w:r>
      <w:r>
        <w:t>)</w:t>
      </w:r>
      <w:r>
        <w:rPr>
          <w:rFonts w:hint="eastAsia"/>
        </w:rPr>
        <w:t>填报；金融企业纳税人根据《金融企业支出明细表》</w:t>
      </w:r>
      <w:r>
        <w:t>(A10202</w:t>
      </w:r>
      <w:r>
        <w:rPr>
          <w:rFonts w:hint="eastAsia"/>
        </w:rPr>
        <w:t>0</w:t>
      </w:r>
      <w:r>
        <w:t>)</w:t>
      </w:r>
      <w:r>
        <w:rPr>
          <w:rFonts w:hint="eastAsia"/>
        </w:rPr>
        <w:t>填报；事业单位、社会团体、民办非企业单位、非营利组织等纳税人，根据《事业单位、民间非营利组织收入、支出明细表》</w:t>
      </w:r>
      <w:r>
        <w:t>(A103000)</w:t>
      </w:r>
      <w:r>
        <w:rPr>
          <w:rFonts w:hint="eastAsia"/>
        </w:rPr>
        <w:t>填报。</w:t>
      </w:r>
    </w:p>
    <w:p>
      <w:pPr>
        <w:pStyle w:val="9"/>
      </w:pPr>
      <w:r>
        <w:rPr>
          <w:rFonts w:hint="eastAsia"/>
        </w:rPr>
        <w:t>3.第3行“税金及附加”：填报纳税人经营活动发生的消费税、城市维护建设税、资源税、土地增值税和教育费附加等相关税费。本行根据纳税人相关会计科目填报。纳税人在其他会计科目核算的税金不得重复填报。</w:t>
      </w:r>
    </w:p>
    <w:p>
      <w:pPr>
        <w:pStyle w:val="9"/>
      </w:pPr>
      <w:r>
        <w:t>4.</w:t>
      </w:r>
      <w:r>
        <w:rPr>
          <w:rFonts w:hint="eastAsia"/>
        </w:rPr>
        <w:t>第</w:t>
      </w:r>
      <w:r>
        <w:t>4</w:t>
      </w:r>
      <w:r>
        <w:rPr>
          <w:rFonts w:hint="eastAsia"/>
        </w:rPr>
        <w:t>行“销售费用”：填报纳税人在销售商品和材料、提供劳务的过程中发生的各种费用。本行根据《期间费用明细表》（</w:t>
      </w:r>
      <w:r>
        <w:t>A10</w:t>
      </w:r>
      <w:r>
        <w:rPr>
          <w:rFonts w:hint="eastAsia"/>
        </w:rPr>
        <w:t>4</w:t>
      </w:r>
      <w:r>
        <w:t>00</w:t>
      </w:r>
      <w:r>
        <w:rPr>
          <w:rFonts w:hint="eastAsia"/>
        </w:rPr>
        <w:t>0）中对应的“销售费用”填报。</w:t>
      </w:r>
    </w:p>
    <w:p>
      <w:pPr>
        <w:pStyle w:val="9"/>
      </w:pPr>
      <w:r>
        <w:t>5.</w:t>
      </w:r>
      <w:r>
        <w:rPr>
          <w:rFonts w:hint="eastAsia"/>
        </w:rPr>
        <w:t>第</w:t>
      </w:r>
      <w:r>
        <w:t>5</w:t>
      </w:r>
      <w:r>
        <w:rPr>
          <w:rFonts w:hint="eastAsia"/>
        </w:rPr>
        <w:t>行“管理费用”：填报纳税人为组织和管理企业生产经营发生的管理费用。本行根据《期间费用明细表》（</w:t>
      </w:r>
      <w:r>
        <w:t>A10</w:t>
      </w:r>
      <w:r>
        <w:rPr>
          <w:rFonts w:hint="eastAsia"/>
        </w:rPr>
        <w:t>4</w:t>
      </w:r>
      <w:r>
        <w:t>00</w:t>
      </w:r>
      <w:r>
        <w:rPr>
          <w:rFonts w:hint="eastAsia"/>
        </w:rPr>
        <w:t>0）中对应的“管理费用”填报。</w:t>
      </w:r>
    </w:p>
    <w:p>
      <w:pPr>
        <w:pStyle w:val="9"/>
      </w:pPr>
      <w:r>
        <w:t>6.</w:t>
      </w:r>
      <w:r>
        <w:rPr>
          <w:rFonts w:hint="eastAsia"/>
        </w:rPr>
        <w:t>第</w:t>
      </w:r>
      <w:r>
        <w:t>6</w:t>
      </w:r>
      <w:r>
        <w:rPr>
          <w:rFonts w:hint="eastAsia"/>
        </w:rPr>
        <w:t>行“财务费用”：填报纳税人为筹集生产经营所需资金等发生的筹资费用。本行根据《期间费用明细表》（</w:t>
      </w:r>
      <w:r>
        <w:t>A10</w:t>
      </w:r>
      <w:r>
        <w:rPr>
          <w:rFonts w:hint="eastAsia"/>
        </w:rPr>
        <w:t>4</w:t>
      </w:r>
      <w:r>
        <w:t>00</w:t>
      </w:r>
      <w:r>
        <w:rPr>
          <w:rFonts w:hint="eastAsia"/>
        </w:rPr>
        <w:t>0）中对应的“财务费用”填报。</w:t>
      </w:r>
    </w:p>
    <w:p>
      <w:pPr>
        <w:pStyle w:val="9"/>
      </w:pPr>
      <w:r>
        <w:t>7.</w:t>
      </w:r>
      <w:r>
        <w:rPr>
          <w:rFonts w:hint="eastAsia"/>
        </w:rPr>
        <w:t>第</w:t>
      </w:r>
      <w:r>
        <w:t>7</w:t>
      </w:r>
      <w:r>
        <w:rPr>
          <w:rFonts w:hint="eastAsia"/>
        </w:rPr>
        <w:t>行“资产减值损失”：填报纳税人计提各项资产准备发生的减值损失。本行根据企业“资产减值损失”科目上的数额填报。实行其他会计制度的比照填报。</w:t>
      </w:r>
    </w:p>
    <w:p>
      <w:pPr>
        <w:pStyle w:val="9"/>
      </w:pPr>
      <w:r>
        <w:t>8.</w:t>
      </w:r>
      <w:r>
        <w:rPr>
          <w:rFonts w:hint="eastAsia"/>
        </w:rPr>
        <w:t>第</w:t>
      </w:r>
      <w:r>
        <w:t>8</w:t>
      </w:r>
      <w:r>
        <w:rPr>
          <w:rFonts w:hint="eastAsia"/>
        </w:rPr>
        <w:t>行“公允价值变动收益”：</w:t>
      </w:r>
      <w:r>
        <w:rPr>
          <w:rFonts w:hint="eastAsia" w:cs="Arial"/>
        </w:rPr>
        <w:t>填报纳税人在初始确认时划分为以公允价值计量且其变动计入当期损益的金融资产或金融负债（包括交易性金融资产或负债，直接指定为以公允价值计量且其变动计入当期损益的金融资产或金融负债），以及采用公允价值模式计量的投资性房地产、衍生工具和套期业务中公允价值变动形成的应计入当期损益的利得或损失。本行根据企业“公允价值变动损益”科目的数额填报，损失以“-”号填列。</w:t>
      </w:r>
    </w:p>
    <w:p>
      <w:pPr>
        <w:pStyle w:val="9"/>
      </w:pPr>
      <w:r>
        <w:t>9.</w:t>
      </w:r>
      <w:r>
        <w:rPr>
          <w:rFonts w:hint="eastAsia"/>
        </w:rPr>
        <w:t>第</w:t>
      </w:r>
      <w:r>
        <w:t>9</w:t>
      </w:r>
      <w:r>
        <w:rPr>
          <w:rFonts w:hint="eastAsia"/>
        </w:rPr>
        <w:t>行“投资收益”：填报纳税人以各种方式对外投资确认所取得的收益或发生的损失。根据企业“投资收益”科目的数额计算填报，实行事业单位会计准则的纳税人根据“其他收入”科目中的投资收益金额分析填报，</w:t>
      </w:r>
      <w:r>
        <w:rPr>
          <w:rFonts w:hint="eastAsia" w:cs="Arial"/>
        </w:rPr>
        <w:t>损失以“-”号填列。实行其他会计制度的纳税人比照填报。</w:t>
      </w:r>
    </w:p>
    <w:p>
      <w:pPr>
        <w:pStyle w:val="9"/>
      </w:pPr>
      <w:r>
        <w:t>10.</w:t>
      </w:r>
      <w:r>
        <w:rPr>
          <w:rFonts w:hint="eastAsia"/>
        </w:rPr>
        <w:t>第</w:t>
      </w:r>
      <w:r>
        <w:t>10</w:t>
      </w:r>
      <w:r>
        <w:rPr>
          <w:rFonts w:hint="eastAsia"/>
        </w:rPr>
        <w:t>行“营业利润”：填报纳税人当期的营业利润。根据上述项目计算填列。</w:t>
      </w:r>
    </w:p>
    <w:p>
      <w:pPr>
        <w:pStyle w:val="9"/>
      </w:pPr>
      <w:r>
        <w:t>11.</w:t>
      </w:r>
      <w:r>
        <w:rPr>
          <w:rFonts w:hint="eastAsia"/>
        </w:rPr>
        <w:t>第</w:t>
      </w:r>
      <w:r>
        <w:t>11</w:t>
      </w:r>
      <w:r>
        <w:rPr>
          <w:rFonts w:hint="eastAsia"/>
        </w:rPr>
        <w:t>行“营业外收入”：填报纳税人取得的与其经营活动无直接关系的各项收入的金额。一般企业纳税人根据《一般企业收入明细表》（</w:t>
      </w:r>
      <w:r>
        <w:t>A10101</w:t>
      </w:r>
      <w:r>
        <w:rPr>
          <w:rFonts w:hint="eastAsia"/>
        </w:rPr>
        <w:t>0）填报；金融企业纳税人根据《金融企业收入明细表》</w:t>
      </w:r>
      <w:r>
        <w:t>(A10102</w:t>
      </w:r>
      <w:r>
        <w:rPr>
          <w:rFonts w:hint="eastAsia"/>
        </w:rPr>
        <w:t>0</w:t>
      </w:r>
      <w:r>
        <w:t>)</w:t>
      </w:r>
      <w:r>
        <w:rPr>
          <w:rFonts w:hint="eastAsia"/>
        </w:rPr>
        <w:t>填报；实行事业单位会计准则或民间非营利组织会计制度的纳税人根据《事业单位、民间非营利组织收入、支出明细表》</w:t>
      </w:r>
      <w:r>
        <w:t>(A103000)</w:t>
      </w:r>
      <w:r>
        <w:rPr>
          <w:rFonts w:hint="eastAsia"/>
        </w:rPr>
        <w:t>填报。</w:t>
      </w:r>
    </w:p>
    <w:p>
      <w:pPr>
        <w:pStyle w:val="9"/>
      </w:pPr>
      <w:r>
        <w:t>12.</w:t>
      </w:r>
      <w:r>
        <w:rPr>
          <w:rFonts w:hint="eastAsia"/>
        </w:rPr>
        <w:t>第</w:t>
      </w:r>
      <w:r>
        <w:t>12</w:t>
      </w:r>
      <w:r>
        <w:rPr>
          <w:rFonts w:hint="eastAsia"/>
        </w:rPr>
        <w:t>行“营业外支出”：填报纳税人发生的与其经营活动无直接关系的各项支出的金额。一般企业纳税人根据《一般企业成本支出明细表》</w:t>
      </w:r>
      <w:r>
        <w:t>(A10201</w:t>
      </w:r>
      <w:r>
        <w:rPr>
          <w:rFonts w:hint="eastAsia"/>
        </w:rPr>
        <w:t>0</w:t>
      </w:r>
      <w:r>
        <w:t>)</w:t>
      </w:r>
      <w:r>
        <w:rPr>
          <w:rFonts w:hint="eastAsia"/>
        </w:rPr>
        <w:t>填报；金融企业纳税人根据《金融企业支出明细表》</w:t>
      </w:r>
      <w:r>
        <w:t>(A10202</w:t>
      </w:r>
      <w:r>
        <w:rPr>
          <w:rFonts w:hint="eastAsia"/>
        </w:rPr>
        <w:t>0</w:t>
      </w:r>
      <w:r>
        <w:t>)</w:t>
      </w:r>
      <w:r>
        <w:rPr>
          <w:rFonts w:hint="eastAsia"/>
        </w:rPr>
        <w:t>填报；实行事业单位会计准则或民间非营利组织会计制度的纳税人根据《事业单位、民间非营利组织收入、支出明细表》</w:t>
      </w:r>
      <w:r>
        <w:t>(A103000)</w:t>
      </w:r>
      <w:r>
        <w:rPr>
          <w:rFonts w:hint="eastAsia"/>
        </w:rPr>
        <w:t>填报。</w:t>
      </w:r>
    </w:p>
    <w:p>
      <w:pPr>
        <w:pStyle w:val="9"/>
      </w:pPr>
      <w:r>
        <w:t>13.</w:t>
      </w:r>
      <w:r>
        <w:rPr>
          <w:rFonts w:hint="eastAsia"/>
        </w:rPr>
        <w:t>第</w:t>
      </w:r>
      <w:r>
        <w:t>13</w:t>
      </w:r>
      <w:r>
        <w:rPr>
          <w:rFonts w:hint="eastAsia"/>
        </w:rPr>
        <w:t>行“利润总额”：填报纳税人当期的利润总额。根据上述项目计算填列。</w:t>
      </w:r>
    </w:p>
    <w:p>
      <w:pPr>
        <w:pStyle w:val="9"/>
      </w:pPr>
      <w:r>
        <w:rPr>
          <w:rFonts w:hint="eastAsia"/>
        </w:rPr>
        <w:t>14.第14行“境外所得”：填报纳税人取得的境外所得且已计入利润总额的金额。本行根据《境外所得纳税调整后所得明细表》(A108010)填报。</w:t>
      </w:r>
    </w:p>
    <w:p>
      <w:pPr>
        <w:pStyle w:val="9"/>
      </w:pPr>
      <w:r>
        <w:rPr>
          <w:rFonts w:hint="eastAsia"/>
        </w:rPr>
        <w:t>15.第15行“纳税调整增加额”：填报纳税人会计处理与税收规定不一致，进行纳税调整增加的金额。本行根据《纳税调整项目明细表》（A105000）“调增金额”列填报。</w:t>
      </w:r>
    </w:p>
    <w:p>
      <w:pPr>
        <w:pStyle w:val="9"/>
      </w:pPr>
      <w:r>
        <w:rPr>
          <w:rFonts w:hint="eastAsia"/>
        </w:rPr>
        <w:t>16.第16行“纳税调整减少额”：填报纳税人会计处理与税收规定不一致，进行纳税调整减少的金额。本行根据《纳税调整项目明细表》（A105000）“调减金额”列填报。</w:t>
      </w:r>
    </w:p>
    <w:p>
      <w:pPr>
        <w:pStyle w:val="9"/>
        <w:rPr>
          <w:color w:val="000000"/>
        </w:rPr>
      </w:pPr>
      <w:r>
        <w:rPr>
          <w:rFonts w:hint="eastAsia"/>
        </w:rPr>
        <w:t>17.第17行“免税、减计收入及加计扣除”：填报属于税收规定免税收入、减计收入、加计扣除金额。本行根据《免税、减计收入及加计</w:t>
      </w:r>
      <w:r>
        <w:rPr>
          <w:rFonts w:hint="eastAsia"/>
          <w:color w:val="000000"/>
        </w:rPr>
        <w:t>扣除优惠明细表》（A107010）填报。</w:t>
      </w:r>
    </w:p>
    <w:p>
      <w:pPr>
        <w:pStyle w:val="9"/>
      </w:pPr>
      <w:r>
        <w:t>18.</w:t>
      </w:r>
      <w:r>
        <w:rPr>
          <w:rFonts w:hint="eastAsia"/>
        </w:rPr>
        <w:t>第</w:t>
      </w:r>
      <w:r>
        <w:t>18</w:t>
      </w:r>
      <w:r>
        <w:rPr>
          <w:rFonts w:hint="eastAsia"/>
        </w:rPr>
        <w:t>行“境外应税所得抵减境内亏损”：当纳税人选择不用境外所得抵减境内亏损时，填报0；当纳税人选择用境外所得抵减境内亏损时，填报境外所得抵减当年度境内亏损的金额，用境外所得弥补以前年度境内亏损的,填报《境外所得税收抵免明细表》（A108000）。</w:t>
      </w:r>
    </w:p>
    <w:p>
      <w:pPr>
        <w:pStyle w:val="9"/>
        <w:rPr>
          <w:color w:val="000000"/>
        </w:rPr>
      </w:pPr>
      <w:r>
        <w:rPr>
          <w:rFonts w:hint="eastAsia"/>
          <w:color w:val="000000"/>
        </w:rPr>
        <w:t>19.第19行“纳税调整后所得”：填报纳税人经过纳税调整、税收优惠、境外所得计算后的所得额。</w:t>
      </w:r>
    </w:p>
    <w:p>
      <w:pPr>
        <w:pStyle w:val="9"/>
      </w:pPr>
      <w:r>
        <w:rPr>
          <w:rFonts w:hint="eastAsia"/>
        </w:rPr>
        <w:t>20.第20行“所得减免”：填报属于税收规定所得减免金额。本行根据《所得减免优惠明细表》（A107020）填报。</w:t>
      </w:r>
    </w:p>
    <w:p>
      <w:pPr>
        <w:pStyle w:val="9"/>
      </w:pPr>
      <w:r>
        <w:rPr>
          <w:rFonts w:hint="eastAsia"/>
        </w:rPr>
        <w:t>21.第21行“弥补以前年度亏损”：填报纳税人按照税收规定可在税前弥补的以前年度亏损数额，本行根据《企业所得税弥补亏损明细表》（A106000）填报。</w:t>
      </w:r>
    </w:p>
    <w:p>
      <w:pPr>
        <w:pStyle w:val="9"/>
      </w:pPr>
      <w:r>
        <w:rPr>
          <w:rFonts w:hint="eastAsia"/>
        </w:rPr>
        <w:t>22.第22行“抵扣应纳税所得额”：填报根据税收规定应抵扣的应纳税所得额。本行根据《抵扣应纳税所得额明细表》（A107030）填报。</w:t>
      </w:r>
    </w:p>
    <w:p>
      <w:pPr>
        <w:pStyle w:val="9"/>
      </w:pPr>
      <w:r>
        <w:rPr>
          <w:rFonts w:hint="eastAsia"/>
        </w:rPr>
        <w:t>23.第23行“应纳税所得额”：金额等于本表第19-20-21-22行计算结果。本行不得为负数。按照上述行次顺序计算结果本行为负数，本行金额填零。</w:t>
      </w:r>
    </w:p>
    <w:p>
      <w:pPr>
        <w:pStyle w:val="9"/>
      </w:pPr>
      <w:r>
        <w:rPr>
          <w:rFonts w:hint="eastAsia"/>
        </w:rPr>
        <w:t>24.第24行“税率”：填报税收规定的税率25%。</w:t>
      </w:r>
    </w:p>
    <w:p>
      <w:pPr>
        <w:pStyle w:val="9"/>
      </w:pPr>
      <w:r>
        <w:rPr>
          <w:rFonts w:hint="eastAsia"/>
        </w:rPr>
        <w:t>25.第25行“应纳所得税额”：金额等于本表第23×24行。</w:t>
      </w:r>
    </w:p>
    <w:p>
      <w:pPr>
        <w:pStyle w:val="9"/>
      </w:pPr>
      <w:r>
        <w:rPr>
          <w:rFonts w:hint="eastAsia"/>
        </w:rPr>
        <w:t>26.第26行“减免所得税额”：填报纳税人按税收规定实际减免的企业所得税额。本行根据《减免所得税优惠明细表》（A107040）填报。</w:t>
      </w:r>
    </w:p>
    <w:p>
      <w:pPr>
        <w:pStyle w:val="9"/>
      </w:pPr>
      <w:r>
        <w:rPr>
          <w:rFonts w:hint="eastAsia"/>
        </w:rPr>
        <w:t>27.第27行“抵免所得税额”：填报企业当年的应纳所得税额中抵免的金额。本行根据《税额抵免优惠明细表》（A107050）填报。</w:t>
      </w:r>
    </w:p>
    <w:p>
      <w:pPr>
        <w:pStyle w:val="9"/>
      </w:pPr>
      <w:r>
        <w:rPr>
          <w:rFonts w:hint="eastAsia"/>
        </w:rPr>
        <w:t>28.第28行“应纳税额”：金额等于本表第25-26-27行。</w:t>
      </w:r>
    </w:p>
    <w:p>
      <w:pPr>
        <w:pStyle w:val="9"/>
      </w:pPr>
      <w:r>
        <w:rPr>
          <w:rFonts w:hint="eastAsia"/>
        </w:rPr>
        <w:t>29.第29行“境外所得应纳所得税额”：填报纳税人来源于中国境外的所得，按照我国税收规定计算的应纳所得税额。本行根据《境外所得税收抵免明细表》（A108000）填报。</w:t>
      </w:r>
    </w:p>
    <w:p>
      <w:pPr>
        <w:pStyle w:val="9"/>
      </w:pPr>
      <w:r>
        <w:rPr>
          <w:rFonts w:hint="eastAsia"/>
        </w:rPr>
        <w:t>30.第30行“境外所得抵免所得税额”：填报纳税人来源于中国境外所得依照中国境外税收法律以及相关规定应缴纳并实际缴纳（包括视同已实际缴纳）的企业所得税性质的税款（准予抵免税款）。本行根据《境外所得税收抵免明细表》（A108000）填报。</w:t>
      </w:r>
    </w:p>
    <w:p>
      <w:pPr>
        <w:pStyle w:val="9"/>
      </w:pPr>
      <w:r>
        <w:rPr>
          <w:rFonts w:hint="eastAsia"/>
        </w:rPr>
        <w:t>31.第31行“实际应纳所得税额”：填报纳税人当期的实际应纳所得税额。金额等于本表第28+29-30行。</w:t>
      </w:r>
    </w:p>
    <w:p>
      <w:pPr>
        <w:pStyle w:val="9"/>
      </w:pPr>
      <w:r>
        <w:rPr>
          <w:rFonts w:hint="eastAsia"/>
        </w:rPr>
        <w:t>32.第32行“本年累计实际已缴纳的所得税额”：填报纳税人按照税收规定本纳税年度已在月（季）度累计预缴的所得税额，包括按照税收规定的特定业务已预缴（征）的所得税额，建筑企业总机构直接管理的跨地区设立的项目部按规定向项目所在地主管税务机关预缴的所得税额。</w:t>
      </w:r>
    </w:p>
    <w:p>
      <w:pPr>
        <w:pStyle w:val="9"/>
      </w:pPr>
      <w:r>
        <w:rPr>
          <w:rFonts w:hint="eastAsia"/>
        </w:rPr>
        <w:t>33.第33行“本年应补（退）的所得税额”：填报纳税人当期应补（退）的所得税额。金额等于本表第31-32行。</w:t>
      </w:r>
    </w:p>
    <w:p>
      <w:pPr>
        <w:pStyle w:val="9"/>
      </w:pPr>
      <w:r>
        <w:rPr>
          <w:rFonts w:hint="eastAsia"/>
        </w:rPr>
        <w:t>34.第34行“总机构分摊本年应补（退）所得税额”：填报汇总纳税的总机构按照税收规定在总机构所在地分摊本年应补（退）所得税额。本行根据《跨地区经营汇总纳税企业年度分摊企业所得税明细表》（A109000）填报。</w:t>
      </w:r>
    </w:p>
    <w:p>
      <w:pPr>
        <w:pStyle w:val="9"/>
      </w:pPr>
      <w:r>
        <w:rPr>
          <w:rFonts w:hint="eastAsia"/>
        </w:rPr>
        <w:t>35.第35行“财政集中分配本年应补（退）所得税额”：填报汇总纳税的总机构按照税收规定财政集中分配本年应补（退）所得税款。本行根据《跨地区经营汇总纳税企业年度分摊企业所得税明细表》（A109000）填报。</w:t>
      </w:r>
    </w:p>
    <w:p>
      <w:pPr>
        <w:pStyle w:val="9"/>
      </w:pPr>
      <w:r>
        <w:rPr>
          <w:rFonts w:hint="eastAsia"/>
        </w:rPr>
        <w:t>36.第36行“总机构主体生产经营部门分摊本年应补（退）所得税额”：填报汇总纳税的总机构所属的具有主体生产经营职能的部门按照税收规定应分摊的本年应补（退）所得税额。本行根据《跨地区经营汇总纳税企业年度分摊企业所得税明细表》（A109000）填报。</w:t>
      </w:r>
    </w:p>
    <w:p>
      <w:pPr>
        <w:pStyle w:val="11"/>
        <w:ind w:firstLine="482"/>
        <w:rPr>
          <w:color w:val="000000"/>
        </w:rPr>
      </w:pPr>
      <w:r>
        <w:rPr>
          <w:rFonts w:hint="eastAsia"/>
          <w:color w:val="000000"/>
        </w:rPr>
        <w:t>二、表内、表间关系</w:t>
      </w:r>
    </w:p>
    <w:p>
      <w:pPr>
        <w:pStyle w:val="12"/>
      </w:pPr>
      <w:r>
        <w:rPr>
          <w:rFonts w:hint="eastAsia"/>
        </w:rPr>
        <w:t>（一）表内关系</w:t>
      </w:r>
    </w:p>
    <w:p>
      <w:pPr>
        <w:pStyle w:val="9"/>
        <w:rPr>
          <w:color w:val="000000"/>
        </w:rPr>
      </w:pPr>
      <w:r>
        <w:rPr>
          <w:rFonts w:hint="eastAsia"/>
          <w:color w:val="000000"/>
        </w:rPr>
        <w:t>1.第10行＝第1-2-3-4-5-6-7+8+9行。</w:t>
      </w:r>
    </w:p>
    <w:p>
      <w:pPr>
        <w:pStyle w:val="9"/>
        <w:rPr>
          <w:color w:val="000000"/>
        </w:rPr>
      </w:pPr>
      <w:r>
        <w:rPr>
          <w:rFonts w:hint="eastAsia"/>
          <w:color w:val="000000"/>
        </w:rPr>
        <w:t>2.第13行＝第10+11-12行。</w:t>
      </w:r>
    </w:p>
    <w:p>
      <w:pPr>
        <w:pStyle w:val="9"/>
        <w:rPr>
          <w:color w:val="000000"/>
        </w:rPr>
      </w:pPr>
      <w:r>
        <w:rPr>
          <w:rFonts w:hint="eastAsia"/>
          <w:color w:val="000000"/>
        </w:rPr>
        <w:t>3.第19行＝第13-14+15-16-17+18行。</w:t>
      </w:r>
    </w:p>
    <w:p>
      <w:pPr>
        <w:pStyle w:val="9"/>
        <w:rPr>
          <w:color w:val="000000"/>
        </w:rPr>
      </w:pPr>
      <w:r>
        <w:rPr>
          <w:rFonts w:hint="eastAsia"/>
          <w:color w:val="000000"/>
        </w:rPr>
        <w:t>4.第23行＝第19-20-21-22行。</w:t>
      </w:r>
    </w:p>
    <w:p>
      <w:pPr>
        <w:pStyle w:val="9"/>
        <w:rPr>
          <w:color w:val="000000"/>
        </w:rPr>
      </w:pPr>
      <w:r>
        <w:rPr>
          <w:rFonts w:hint="eastAsia"/>
          <w:color w:val="000000"/>
        </w:rPr>
        <w:t>5.第25行＝第23×24行。</w:t>
      </w:r>
    </w:p>
    <w:p>
      <w:pPr>
        <w:pStyle w:val="9"/>
        <w:rPr>
          <w:color w:val="000000"/>
        </w:rPr>
      </w:pPr>
      <w:r>
        <w:rPr>
          <w:rFonts w:hint="eastAsia"/>
          <w:color w:val="000000"/>
        </w:rPr>
        <w:t>6.第28行＝第25-26-27行。</w:t>
      </w:r>
    </w:p>
    <w:p>
      <w:pPr>
        <w:pStyle w:val="9"/>
        <w:rPr>
          <w:color w:val="000000"/>
        </w:rPr>
      </w:pPr>
      <w:r>
        <w:rPr>
          <w:rFonts w:hint="eastAsia"/>
          <w:color w:val="000000"/>
        </w:rPr>
        <w:t>7.第31行＝第28+29-30行。</w:t>
      </w:r>
    </w:p>
    <w:p>
      <w:pPr>
        <w:pStyle w:val="9"/>
        <w:rPr>
          <w:color w:val="000000"/>
        </w:rPr>
      </w:pPr>
      <w:r>
        <w:rPr>
          <w:rFonts w:hint="eastAsia"/>
          <w:color w:val="000000"/>
        </w:rPr>
        <w:t>8.第33行＝第31-32行。</w:t>
      </w:r>
    </w:p>
    <w:p>
      <w:pPr>
        <w:pStyle w:val="12"/>
      </w:pPr>
      <w:r>
        <w:rPr>
          <w:rFonts w:hint="eastAsia"/>
        </w:rPr>
        <w:t>（二）表间关系</w:t>
      </w:r>
    </w:p>
    <w:p>
      <w:pPr>
        <w:pStyle w:val="9"/>
      </w:pPr>
      <w:r>
        <w:rPr>
          <w:rFonts w:hint="eastAsia"/>
        </w:rPr>
        <w:t>1</w:t>
      </w:r>
      <w:r>
        <w:t>.</w:t>
      </w:r>
      <w:r>
        <w:rPr>
          <w:rFonts w:hint="eastAsia"/>
        </w:rPr>
        <w:t>第1行＝表A101010第1行或表A101020第1行或表A103000第2+3+4+5+6行或表A103000第</w:t>
      </w:r>
      <w:r>
        <w:t>11</w:t>
      </w:r>
      <w:r>
        <w:rPr>
          <w:rFonts w:hint="eastAsia"/>
        </w:rPr>
        <w:t>+</w:t>
      </w:r>
      <w:r>
        <w:t>12+13+14+15</w:t>
      </w:r>
      <w:r>
        <w:rPr>
          <w:rFonts w:hint="eastAsia"/>
        </w:rPr>
        <w:t>行。</w:t>
      </w:r>
    </w:p>
    <w:p>
      <w:pPr>
        <w:pStyle w:val="9"/>
      </w:pPr>
      <w:r>
        <w:rPr>
          <w:rFonts w:hint="eastAsia"/>
        </w:rPr>
        <w:t>2.第2行＝表A102010第1行或表A102020第1行或表A103000第1</w:t>
      </w:r>
      <w:r>
        <w:t>9</w:t>
      </w:r>
      <w:r>
        <w:rPr>
          <w:rFonts w:hint="eastAsia"/>
        </w:rPr>
        <w:t>+</w:t>
      </w:r>
      <w:r>
        <w:t>20</w:t>
      </w:r>
      <w:r>
        <w:rPr>
          <w:rFonts w:hint="eastAsia"/>
        </w:rPr>
        <w:t>+</w:t>
      </w:r>
      <w:r>
        <w:t>21</w:t>
      </w:r>
      <w:r>
        <w:rPr>
          <w:rFonts w:hint="eastAsia"/>
        </w:rPr>
        <w:t>+</w:t>
      </w:r>
      <w:r>
        <w:t>22</w:t>
      </w:r>
      <w:r>
        <w:rPr>
          <w:rFonts w:hint="eastAsia"/>
        </w:rPr>
        <w:t>行或表A103000第</w:t>
      </w:r>
      <w:r>
        <w:t>25+26+27</w:t>
      </w:r>
      <w:r>
        <w:rPr>
          <w:rFonts w:hint="eastAsia"/>
        </w:rPr>
        <w:t>行。</w:t>
      </w:r>
    </w:p>
    <w:p>
      <w:pPr>
        <w:pStyle w:val="9"/>
      </w:pPr>
      <w:r>
        <w:t>3.</w:t>
      </w:r>
      <w:r>
        <w:rPr>
          <w:rFonts w:hint="eastAsia"/>
        </w:rPr>
        <w:t>第4行＝表A104000第26行第1列。</w:t>
      </w:r>
    </w:p>
    <w:p>
      <w:pPr>
        <w:pStyle w:val="9"/>
      </w:pPr>
      <w:r>
        <w:t>4.</w:t>
      </w:r>
      <w:r>
        <w:rPr>
          <w:rFonts w:hint="eastAsia"/>
        </w:rPr>
        <w:t>第5行＝表A104000第26行第3列。</w:t>
      </w:r>
    </w:p>
    <w:p>
      <w:pPr>
        <w:pStyle w:val="9"/>
      </w:pPr>
      <w:r>
        <w:rPr>
          <w:rFonts w:hint="eastAsia"/>
        </w:rPr>
        <w:t>5.第6行＝表A104000第26行第5列。</w:t>
      </w:r>
    </w:p>
    <w:p>
      <w:pPr>
        <w:pStyle w:val="9"/>
      </w:pPr>
      <w:r>
        <w:t>6.</w:t>
      </w:r>
      <w:r>
        <w:rPr>
          <w:rFonts w:hint="eastAsia"/>
        </w:rPr>
        <w:t>第9行＝表A103000第8行或者第</w:t>
      </w:r>
      <w:r>
        <w:t>1</w:t>
      </w:r>
      <w:r>
        <w:rPr>
          <w:rFonts w:hint="eastAsia"/>
        </w:rPr>
        <w:t>6行（仅限于填报表A</w:t>
      </w:r>
      <w:r>
        <w:t>103000</w:t>
      </w:r>
      <w:r>
        <w:rPr>
          <w:rFonts w:hint="eastAsia"/>
        </w:rPr>
        <w:t>的纳税人，其他纳税人根据财务核算情况自行填写）。</w:t>
      </w:r>
    </w:p>
    <w:p>
      <w:pPr>
        <w:pStyle w:val="9"/>
      </w:pPr>
      <w:r>
        <w:t>7.</w:t>
      </w:r>
      <w:r>
        <w:rPr>
          <w:rFonts w:hint="eastAsia"/>
        </w:rPr>
        <w:t>第11行＝表A101010第16行或表A101020第35行或表A103000第</w:t>
      </w:r>
      <w:r>
        <w:t>9</w:t>
      </w:r>
      <w:r>
        <w:rPr>
          <w:rFonts w:hint="eastAsia"/>
        </w:rPr>
        <w:t>行或第</w:t>
      </w:r>
      <w:r>
        <w:t>17</w:t>
      </w:r>
      <w:r>
        <w:rPr>
          <w:rFonts w:hint="eastAsia"/>
        </w:rPr>
        <w:t>行。</w:t>
      </w:r>
    </w:p>
    <w:p>
      <w:pPr>
        <w:pStyle w:val="9"/>
      </w:pPr>
      <w:r>
        <w:t>8.</w:t>
      </w:r>
      <w:r>
        <w:rPr>
          <w:rFonts w:hint="eastAsia"/>
        </w:rPr>
        <w:t>第12行＝表A102010第16行或表A102020第33行或表A103000第</w:t>
      </w:r>
      <w:r>
        <w:t>23</w:t>
      </w:r>
      <w:r>
        <w:rPr>
          <w:rFonts w:hint="eastAsia"/>
        </w:rPr>
        <w:t>行或第</w:t>
      </w:r>
      <w:r>
        <w:t>28</w:t>
      </w:r>
      <w:r>
        <w:rPr>
          <w:rFonts w:hint="eastAsia"/>
        </w:rPr>
        <w:t>行。</w:t>
      </w:r>
    </w:p>
    <w:p>
      <w:pPr>
        <w:pStyle w:val="9"/>
      </w:pPr>
      <w:r>
        <w:rPr>
          <w:rFonts w:hint="eastAsia"/>
        </w:rPr>
        <w:t>9.第14行＝表A108010第14列合计-第11列合计。</w:t>
      </w:r>
    </w:p>
    <w:p>
      <w:pPr>
        <w:pStyle w:val="9"/>
      </w:pPr>
      <w:r>
        <w:t>10.</w:t>
      </w:r>
      <w:r>
        <w:rPr>
          <w:rFonts w:hint="eastAsia"/>
        </w:rPr>
        <w:t>第15行＝表A105000第4</w:t>
      </w:r>
      <w:r>
        <w:t>5</w:t>
      </w:r>
      <w:r>
        <w:rPr>
          <w:rFonts w:hint="eastAsia"/>
        </w:rPr>
        <w:t>行第3列。</w:t>
      </w:r>
    </w:p>
    <w:p>
      <w:pPr>
        <w:pStyle w:val="9"/>
      </w:pPr>
      <w:r>
        <w:rPr>
          <w:rFonts w:hint="eastAsia"/>
        </w:rPr>
        <w:t>11.第16行＝表A105000第4</w:t>
      </w:r>
      <w:r>
        <w:t>5</w:t>
      </w:r>
      <w:r>
        <w:rPr>
          <w:rFonts w:hint="eastAsia"/>
        </w:rPr>
        <w:t>行第4列。</w:t>
      </w:r>
    </w:p>
    <w:p>
      <w:pPr>
        <w:pStyle w:val="9"/>
      </w:pPr>
      <w:r>
        <w:t>12.</w:t>
      </w:r>
      <w:r>
        <w:rPr>
          <w:rFonts w:hint="eastAsia"/>
        </w:rPr>
        <w:t>第17行＝表A107010第31行。</w:t>
      </w:r>
    </w:p>
    <w:p>
      <w:pPr>
        <w:pStyle w:val="9"/>
        <w:rPr>
          <w:rFonts w:hint="eastAsia"/>
        </w:rPr>
      </w:pPr>
      <w:r>
        <w:rPr>
          <w:rFonts w:hint="eastAsia"/>
        </w:rPr>
        <w:t>13.第18行：</w:t>
      </w:r>
    </w:p>
    <w:p>
      <w:pPr>
        <w:pStyle w:val="9"/>
        <w:rPr>
          <w:rFonts w:hint="eastAsia"/>
        </w:rPr>
      </w:pPr>
      <w:r>
        <w:rPr>
          <w:rFonts w:hint="eastAsia"/>
        </w:rPr>
        <w:t>（1）当A100000第13-14+15-16-17行≥0,第18行＝0；</w:t>
      </w:r>
    </w:p>
    <w:p>
      <w:pPr>
        <w:pStyle w:val="9"/>
        <w:rPr>
          <w:rFonts w:hint="eastAsia"/>
        </w:rPr>
      </w:pPr>
      <w:r>
        <w:rPr>
          <w:rFonts w:hint="eastAsia"/>
        </w:rPr>
        <w:t>（2）当A100000第13-14+15-16-17＜0且表A108000第5列合计行≥0,表A108000第6列合计行＞0时,第18行＝表A108000第5列合计行与表A100000第13-14+15-16-17行绝对值的孰小值；</w:t>
      </w:r>
    </w:p>
    <w:p>
      <w:pPr>
        <w:pStyle w:val="9"/>
      </w:pPr>
      <w:r>
        <w:rPr>
          <w:rFonts w:hint="eastAsia"/>
        </w:rPr>
        <w:t>（3）当A100000第13-14+15-16-17＜0且表A108000第5列合计行≥0,表A108000第6列合计行＝0时,第18行＝0。</w:t>
      </w:r>
    </w:p>
    <w:p>
      <w:pPr>
        <w:pStyle w:val="9"/>
      </w:pPr>
      <w:r>
        <w:rPr>
          <w:rFonts w:hint="eastAsia"/>
        </w:rPr>
        <w:t>14.第19行＝表A100000第</w:t>
      </w:r>
      <w:r>
        <w:t>13-14+15-16-17+18</w:t>
      </w:r>
      <w:r>
        <w:rPr>
          <w:rFonts w:hint="eastAsia"/>
        </w:rPr>
        <w:t>行。</w:t>
      </w:r>
    </w:p>
    <w:p>
      <w:pPr>
        <w:pStyle w:val="9"/>
      </w:pPr>
      <w:r>
        <w:rPr>
          <w:rFonts w:hint="eastAsia"/>
        </w:rPr>
        <w:t>15.第20行：</w:t>
      </w:r>
    </w:p>
    <w:p>
      <w:pPr>
        <w:pStyle w:val="9"/>
        <w:ind w:left="420" w:leftChars="200"/>
      </w:pPr>
      <w:r>
        <w:rPr>
          <w:rFonts w:hint="eastAsia"/>
        </w:rPr>
        <w:t>当第19行≤0时，本行填报0；</w:t>
      </w:r>
    </w:p>
    <w:p>
      <w:pPr>
        <w:pStyle w:val="9"/>
        <w:ind w:left="420" w:leftChars="200"/>
      </w:pPr>
      <w:r>
        <w:rPr>
          <w:rFonts w:hint="eastAsia"/>
        </w:rPr>
        <w:t>当第19行＞0时，</w:t>
      </w:r>
    </w:p>
    <w:p>
      <w:pPr>
        <w:pStyle w:val="9"/>
        <w:ind w:left="1333" w:leftChars="406" w:hanging="480" w:hangingChars="200"/>
      </w:pPr>
      <w:r>
        <w:rPr>
          <w:rFonts w:hint="eastAsia"/>
        </w:rPr>
        <w:t>（1）A107020表合计行第11列≤表A100000第19行，本行＝表A107020合计行第11列；</w:t>
      </w:r>
    </w:p>
    <w:p>
      <w:pPr>
        <w:pStyle w:val="9"/>
        <w:ind w:left="1333" w:leftChars="406" w:hanging="480" w:hangingChars="200"/>
      </w:pPr>
      <w:r>
        <w:rPr>
          <w:rFonts w:hint="eastAsia"/>
        </w:rPr>
        <w:t>（2）A107020表合计行第11列＞表A100000第19行，本行＝表A100000第19行。</w:t>
      </w:r>
    </w:p>
    <w:p>
      <w:pPr>
        <w:pStyle w:val="9"/>
      </w:pPr>
      <w:r>
        <w:rPr>
          <w:rFonts w:hint="eastAsia"/>
        </w:rPr>
        <w:t>16.第21行＝表A106000第6行第10列。</w:t>
      </w:r>
    </w:p>
    <w:p>
      <w:pPr>
        <w:pStyle w:val="9"/>
      </w:pPr>
      <w:r>
        <w:rPr>
          <w:rFonts w:hint="eastAsia"/>
        </w:rPr>
        <w:t>17.第22行＝表A107030第15行第1列。</w:t>
      </w:r>
    </w:p>
    <w:p>
      <w:pPr>
        <w:pStyle w:val="9"/>
      </w:pPr>
      <w:r>
        <w:rPr>
          <w:rFonts w:hint="eastAsia"/>
        </w:rPr>
        <w:t>18.第26行＝表A107040第32行。</w:t>
      </w:r>
    </w:p>
    <w:p>
      <w:pPr>
        <w:pStyle w:val="9"/>
      </w:pPr>
      <w:r>
        <w:rPr>
          <w:rFonts w:hint="eastAsia"/>
        </w:rPr>
        <w:t>19.第27行＝表A107050第7行第11列。</w:t>
      </w:r>
    </w:p>
    <w:p>
      <w:pPr>
        <w:pStyle w:val="9"/>
      </w:pPr>
      <w:r>
        <w:t>20.</w:t>
      </w:r>
      <w:r>
        <w:rPr>
          <w:rFonts w:hint="eastAsia"/>
        </w:rPr>
        <w:t>第29行＝表A108000第9列合计。</w:t>
      </w:r>
    </w:p>
    <w:p>
      <w:pPr>
        <w:pStyle w:val="9"/>
      </w:pPr>
      <w:r>
        <w:rPr>
          <w:rFonts w:hint="eastAsia"/>
        </w:rPr>
        <w:t>21.第30行＝表A108000第19列合计。</w:t>
      </w:r>
    </w:p>
    <w:p>
      <w:pPr>
        <w:pStyle w:val="9"/>
      </w:pPr>
      <w:r>
        <w:rPr>
          <w:rFonts w:hint="eastAsia"/>
        </w:rPr>
        <w:t>22.第34行＝表A109000第12+16行。</w:t>
      </w:r>
    </w:p>
    <w:p>
      <w:pPr>
        <w:pStyle w:val="9"/>
      </w:pPr>
      <w:r>
        <w:rPr>
          <w:rFonts w:hint="eastAsia"/>
        </w:rPr>
        <w:t>23.第35行＝表A109000第13行。</w:t>
      </w:r>
    </w:p>
    <w:p>
      <w:pPr>
        <w:pStyle w:val="9"/>
      </w:pPr>
      <w:r>
        <w:t>24.</w:t>
      </w:r>
      <w:r>
        <w:rPr>
          <w:rFonts w:hint="eastAsia"/>
        </w:rPr>
        <w:t>第36行＝表A109000第15行。</w:t>
      </w:r>
    </w:p>
    <w:p>
      <w:pPr>
        <w:pStyle w:val="10"/>
      </w:pPr>
      <w:r>
        <w:rPr>
          <w:color w:val="000000"/>
        </w:rPr>
        <w:br w:type="page"/>
      </w:r>
      <w:bookmarkStart w:id="23" w:name="_Toc499456557"/>
      <w:r>
        <w:rPr>
          <w:rFonts w:hint="eastAsia"/>
        </w:rPr>
        <w:t>A101010</w:t>
      </w:r>
      <w:r>
        <w:tab/>
      </w:r>
      <w:r>
        <w:rPr>
          <w:rFonts w:hint="eastAsia"/>
        </w:rPr>
        <w:t>一般企业收入明细表</w:t>
      </w:r>
      <w:bookmarkEnd w:id="23"/>
    </w:p>
    <w:tbl>
      <w:tblPr>
        <w:tblStyle w:val="7"/>
        <w:tblW w:w="96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0"/>
        <w:gridCol w:w="6760"/>
        <w:gridCol w:w="2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6760" w:type="dxa"/>
            <w:shd w:val="clear" w:color="auto" w:fill="auto"/>
            <w:vAlign w:val="center"/>
          </w:tcPr>
          <w:p>
            <w:pPr>
              <w:widowControl/>
              <w:ind w:left="2520" w:leftChars="1200" w:right="2520" w:rightChars="1200"/>
              <w:jc w:val="distribute"/>
              <w:rPr>
                <w:rFonts w:ascii="宋体" w:hAnsi="宋体" w:cs="宋体"/>
                <w:kern w:val="0"/>
                <w:sz w:val="20"/>
                <w:szCs w:val="20"/>
              </w:rPr>
            </w:pPr>
            <w:r>
              <w:rPr>
                <w:rFonts w:hint="eastAsia" w:ascii="宋体" w:hAnsi="宋体" w:cs="宋体"/>
                <w:kern w:val="0"/>
                <w:sz w:val="20"/>
                <w:szCs w:val="20"/>
              </w:rPr>
              <w:t>项目</w:t>
            </w:r>
          </w:p>
        </w:tc>
        <w:tc>
          <w:tcPr>
            <w:tcW w:w="2300" w:type="dxa"/>
            <w:shd w:val="clear" w:color="auto" w:fill="auto"/>
            <w:vAlign w:val="center"/>
          </w:tcPr>
          <w:p>
            <w:pPr>
              <w:widowControl/>
              <w:jc w:val="center"/>
              <w:rPr>
                <w:rFonts w:ascii="宋体" w:hAnsi="宋体" w:cs="宋体"/>
                <w:kern w:val="0"/>
                <w:sz w:val="20"/>
                <w:szCs w:val="20"/>
              </w:rPr>
            </w:pPr>
            <w:r>
              <w:rPr>
                <w:rFonts w:hint="eastAsia" w:ascii="宋体" w:hAnsi="宋体" w:cs="宋体"/>
                <w:spacing w:val="300"/>
                <w:kern w:val="0"/>
                <w:sz w:val="20"/>
                <w:szCs w:val="20"/>
                <w:fitText w:val="1000" w:id="0"/>
              </w:rPr>
              <w:t>金</w:t>
            </w:r>
            <w:r>
              <w:rPr>
                <w:rFonts w:hint="eastAsia" w:ascii="宋体" w:hAnsi="宋体" w:cs="宋体"/>
                <w:kern w:val="0"/>
                <w:sz w:val="20"/>
                <w:szCs w:val="20"/>
                <w:fitText w:val="1000" w:id="0"/>
              </w:rPr>
              <w:t>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一、营业收入（2+9）</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676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（一）主营业务收入（3+5+6+7+8）</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6760" w:type="dxa"/>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1.销售商品收入</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6760" w:type="dxa"/>
            <w:shd w:val="clear" w:color="auto" w:fill="auto"/>
            <w:vAlign w:val="center"/>
          </w:tcPr>
          <w:p>
            <w:pPr>
              <w:widowControl/>
              <w:ind w:firstLine="1000" w:firstLineChars="500"/>
              <w:jc w:val="left"/>
              <w:rPr>
                <w:rFonts w:ascii="宋体" w:hAnsi="宋体" w:cs="宋体"/>
                <w:kern w:val="0"/>
                <w:sz w:val="20"/>
                <w:szCs w:val="20"/>
              </w:rPr>
            </w:pPr>
            <w:r>
              <w:rPr>
                <w:rFonts w:hint="eastAsia" w:ascii="宋体" w:hAnsi="宋体" w:cs="宋体"/>
                <w:kern w:val="0"/>
                <w:sz w:val="20"/>
                <w:szCs w:val="20"/>
              </w:rPr>
              <w:t>其中：非货币性资产交换收入</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6760" w:type="dxa"/>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2.提供劳务收入</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6760" w:type="dxa"/>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3.建造合同收入</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6760" w:type="dxa"/>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4.让渡资产使用权收入</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6760" w:type="dxa"/>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5.其他</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676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（二）其他业务收入（10+12+13+14+15）</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6760" w:type="dxa"/>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1.销售材料收入</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6760" w:type="dxa"/>
            <w:shd w:val="clear" w:color="auto" w:fill="auto"/>
            <w:vAlign w:val="center"/>
          </w:tcPr>
          <w:p>
            <w:pPr>
              <w:widowControl/>
              <w:ind w:firstLine="1000" w:firstLineChars="500"/>
              <w:jc w:val="left"/>
              <w:rPr>
                <w:rFonts w:ascii="宋体" w:hAnsi="宋体" w:cs="宋体"/>
                <w:kern w:val="0"/>
                <w:sz w:val="20"/>
                <w:szCs w:val="20"/>
              </w:rPr>
            </w:pPr>
            <w:r>
              <w:rPr>
                <w:rFonts w:hint="eastAsia" w:ascii="宋体" w:hAnsi="宋体" w:cs="宋体"/>
                <w:kern w:val="0"/>
                <w:sz w:val="20"/>
                <w:szCs w:val="20"/>
              </w:rPr>
              <w:t>其中：非货币性资产交换收入</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6760" w:type="dxa"/>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2.出租固定资产收入</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6760" w:type="dxa"/>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3.出租无形资产收入</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6760" w:type="dxa"/>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4.出租包装物和商品收入</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6760" w:type="dxa"/>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5.其他</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二、营业外收入（17+18+19+20+21+22+23+24+25+26）</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676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（一）非流动资产处置利得</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676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（二）非货币性资产交换利得</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676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（三）债务重组利得</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676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（四）政府补助利得</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676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（五）盘盈利得</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676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（六）捐赠利得</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676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（七）罚没利得</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676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（八）确实无法偿付的应付款项</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676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（九）汇兑收益</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676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（十）其他</w:t>
            </w:r>
          </w:p>
        </w:tc>
        <w:tc>
          <w:tcPr>
            <w:tcW w:w="23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pStyle w:val="9"/>
      </w:pPr>
    </w:p>
    <w:p>
      <w:pPr>
        <w:pStyle w:val="10"/>
        <w:sectPr>
          <w:footerReference r:id="rId7" w:type="first"/>
          <w:type w:val="evenPage"/>
          <w:pgSz w:w="11906" w:h="16838"/>
          <w:pgMar w:top="1418" w:right="1418" w:bottom="1928" w:left="1418" w:header="851" w:footer="992" w:gutter="113"/>
          <w:cols w:space="425" w:num="1"/>
          <w:titlePg/>
          <w:docGrid w:linePitch="312" w:charSpace="0"/>
        </w:sectPr>
      </w:pPr>
    </w:p>
    <w:p>
      <w:pPr>
        <w:pStyle w:val="8"/>
        <w:spacing w:before="240" w:after="360"/>
      </w:pPr>
      <w:bookmarkStart w:id="24" w:name="_Toc499456558"/>
      <w:r>
        <w:t>A10101</w:t>
      </w:r>
      <w:r>
        <w:rPr>
          <w:rFonts w:hint="eastAsia"/>
        </w:rPr>
        <w:t>0</w:t>
      </w:r>
      <w:r>
        <w:tab/>
      </w:r>
      <w:r>
        <w:rPr>
          <w:rFonts w:hint="eastAsia"/>
        </w:rPr>
        <w:t>《一般企业收入明细表》填报说明</w:t>
      </w:r>
      <w:bookmarkEnd w:id="22"/>
      <w:bookmarkEnd w:id="24"/>
    </w:p>
    <w:p>
      <w:pPr>
        <w:pStyle w:val="9"/>
        <w:rPr>
          <w:color w:val="000000"/>
        </w:rPr>
      </w:pPr>
      <w:r>
        <w:rPr>
          <w:rFonts w:hint="eastAsia"/>
          <w:color w:val="000000"/>
        </w:rPr>
        <w:t>本表适用于除金融企业、事业单位和民间非营利组织外的企业填报。纳税人应根据国家统一会计制度的规定，填报“主营业务收入”“其他业务收入”和“营业外收入”。</w:t>
      </w:r>
    </w:p>
    <w:p>
      <w:pPr>
        <w:pStyle w:val="11"/>
        <w:ind w:firstLine="482"/>
      </w:pPr>
      <w:bookmarkStart w:id="25" w:name="_Toc393480186"/>
      <w:r>
        <w:rPr>
          <w:rFonts w:hint="eastAsia"/>
        </w:rPr>
        <w:t>一、有关项目填报说明</w:t>
      </w:r>
      <w:bookmarkEnd w:id="25"/>
    </w:p>
    <w:p>
      <w:pPr>
        <w:pStyle w:val="9"/>
        <w:rPr>
          <w:color w:val="000000"/>
        </w:rPr>
      </w:pPr>
      <w:r>
        <w:rPr>
          <w:color w:val="000000"/>
        </w:rPr>
        <w:t>1</w:t>
      </w:r>
      <w:r>
        <w:rPr>
          <w:rFonts w:hint="eastAsia"/>
          <w:color w:val="000000"/>
        </w:rPr>
        <w:t>.第</w:t>
      </w:r>
      <w:r>
        <w:rPr>
          <w:color w:val="000000"/>
        </w:rPr>
        <w:t>1</w:t>
      </w:r>
      <w:r>
        <w:rPr>
          <w:rFonts w:hint="eastAsia"/>
          <w:color w:val="000000"/>
        </w:rPr>
        <w:t>行“营业收入”：根据主营业务收入、其他业务收入的数额计算填报。</w:t>
      </w:r>
    </w:p>
    <w:p>
      <w:pPr>
        <w:pStyle w:val="9"/>
        <w:rPr>
          <w:color w:val="000000"/>
        </w:rPr>
      </w:pPr>
      <w:r>
        <w:rPr>
          <w:color w:val="000000"/>
        </w:rPr>
        <w:t>2.</w:t>
      </w:r>
      <w:r>
        <w:rPr>
          <w:rFonts w:hint="eastAsia"/>
          <w:color w:val="000000"/>
        </w:rPr>
        <w:t>第</w:t>
      </w:r>
      <w:r>
        <w:rPr>
          <w:color w:val="000000"/>
        </w:rPr>
        <w:t>2</w:t>
      </w:r>
      <w:r>
        <w:rPr>
          <w:rFonts w:hint="eastAsia"/>
          <w:color w:val="000000"/>
        </w:rPr>
        <w:t>行“主营业务收入”：根据不同行业的业务性质分别填报纳税人核算的主营业务收入。</w:t>
      </w:r>
    </w:p>
    <w:p>
      <w:pPr>
        <w:pStyle w:val="9"/>
        <w:rPr>
          <w:color w:val="000000"/>
        </w:rPr>
      </w:pPr>
      <w:r>
        <w:rPr>
          <w:rFonts w:cs="宋体"/>
          <w:color w:val="000000"/>
        </w:rPr>
        <w:t>3.</w:t>
      </w:r>
      <w:r>
        <w:rPr>
          <w:rFonts w:hint="eastAsia" w:cs="宋体"/>
          <w:color w:val="000000"/>
        </w:rPr>
        <w:t>第</w:t>
      </w:r>
      <w:r>
        <w:rPr>
          <w:rFonts w:cs="宋体"/>
          <w:color w:val="000000"/>
        </w:rPr>
        <w:t>3</w:t>
      </w:r>
      <w:r>
        <w:rPr>
          <w:rFonts w:hint="eastAsia" w:cs="宋体"/>
          <w:color w:val="000000"/>
        </w:rPr>
        <w:t>行“销售商品收入”：</w:t>
      </w:r>
      <w:r>
        <w:rPr>
          <w:rFonts w:hint="eastAsia"/>
          <w:color w:val="000000"/>
        </w:rPr>
        <w:t>填报纳税人从事工业制造、商品流通、农业生产以及其他商品销售活动取得的主营业务收入。房地产开发企业销售开发产品（销售未完工开发产品除外）取得的收入也在此行填报。</w:t>
      </w:r>
    </w:p>
    <w:p>
      <w:pPr>
        <w:pStyle w:val="9"/>
        <w:rPr>
          <w:color w:val="000000"/>
        </w:rPr>
      </w:pPr>
      <w:r>
        <w:rPr>
          <w:rFonts w:cs="宋体"/>
          <w:color w:val="000000"/>
        </w:rPr>
        <w:t>4.</w:t>
      </w:r>
      <w:r>
        <w:rPr>
          <w:rFonts w:hint="eastAsia" w:cs="宋体"/>
          <w:color w:val="000000"/>
        </w:rPr>
        <w:t>第</w:t>
      </w:r>
      <w:r>
        <w:rPr>
          <w:rFonts w:cs="宋体"/>
          <w:color w:val="000000"/>
        </w:rPr>
        <w:t>4</w:t>
      </w:r>
      <w:r>
        <w:rPr>
          <w:rFonts w:hint="eastAsia" w:cs="宋体"/>
          <w:color w:val="000000"/>
        </w:rPr>
        <w:t>行“其中：非货币性资产交换收入”：填报纳税人发生的非货币性资产交换按照国家统一会计制度应确认的销售商品收入。</w:t>
      </w:r>
    </w:p>
    <w:p>
      <w:pPr>
        <w:pStyle w:val="9"/>
        <w:rPr>
          <w:color w:val="000000"/>
        </w:rPr>
      </w:pPr>
      <w:r>
        <w:rPr>
          <w:rFonts w:cs="宋体"/>
          <w:color w:val="000000"/>
        </w:rPr>
        <w:t>5.</w:t>
      </w:r>
      <w:r>
        <w:rPr>
          <w:rFonts w:hint="eastAsia" w:cs="宋体"/>
          <w:color w:val="000000"/>
        </w:rPr>
        <w:t>第</w:t>
      </w:r>
      <w:r>
        <w:rPr>
          <w:rFonts w:cs="宋体"/>
          <w:color w:val="000000"/>
        </w:rPr>
        <w:t>5</w:t>
      </w:r>
      <w:r>
        <w:rPr>
          <w:rFonts w:hint="eastAsia" w:cs="宋体"/>
          <w:color w:val="000000"/>
        </w:rPr>
        <w:t>行“提供劳务收入”：</w:t>
      </w:r>
      <w:r>
        <w:rPr>
          <w:rFonts w:hint="eastAsia"/>
          <w:color w:val="000000"/>
        </w:rPr>
        <w:t>填报纳税人从事建筑安装、修理修配、交通运输、仓储租赁、邮电通信、咨询经纪、文化体育、科学研究、技术服务、教育培训、餐饮住宿、中介代理、卫生保健、社区服务、旅游、娱乐、加工以及其他劳务活动取得的主营业务收入。</w:t>
      </w:r>
    </w:p>
    <w:p>
      <w:pPr>
        <w:pStyle w:val="9"/>
        <w:rPr>
          <w:color w:val="000000"/>
        </w:rPr>
      </w:pPr>
      <w:r>
        <w:rPr>
          <w:rFonts w:cs="宋体"/>
          <w:color w:val="000000"/>
        </w:rPr>
        <w:t>6.</w:t>
      </w:r>
      <w:r>
        <w:rPr>
          <w:rFonts w:hint="eastAsia" w:cs="宋体"/>
          <w:color w:val="000000"/>
        </w:rPr>
        <w:t>第</w:t>
      </w:r>
      <w:r>
        <w:rPr>
          <w:rFonts w:cs="宋体"/>
          <w:color w:val="000000"/>
        </w:rPr>
        <w:t>6</w:t>
      </w:r>
      <w:r>
        <w:rPr>
          <w:rFonts w:hint="eastAsia" w:cs="宋体"/>
          <w:color w:val="000000"/>
        </w:rPr>
        <w:t>行“建造合同收入”：填报纳税人建造房屋、道路、桥梁、水坝等建筑物，以及生产船舶、飞机、大型机械设备等取得的主营业务收入。</w:t>
      </w:r>
    </w:p>
    <w:p>
      <w:pPr>
        <w:pStyle w:val="9"/>
        <w:rPr>
          <w:color w:val="000000"/>
        </w:rPr>
      </w:pPr>
      <w:r>
        <w:rPr>
          <w:color w:val="000000"/>
        </w:rPr>
        <w:t>7.</w:t>
      </w:r>
      <w:r>
        <w:rPr>
          <w:rFonts w:hint="eastAsia"/>
          <w:color w:val="000000"/>
        </w:rPr>
        <w:t>第</w:t>
      </w:r>
      <w:r>
        <w:rPr>
          <w:color w:val="000000"/>
        </w:rPr>
        <w:t>7</w:t>
      </w:r>
      <w:r>
        <w:rPr>
          <w:rFonts w:hint="eastAsia"/>
          <w:color w:val="000000"/>
        </w:rPr>
        <w:t>行“让渡资产使用权收入”：填报纳税人在主营业务收入核算的，让渡无形资产使用权而取得的使用费收入以及出租固定资产、无形资产、投资性房地产取得的租金收入。</w:t>
      </w:r>
    </w:p>
    <w:p>
      <w:pPr>
        <w:pStyle w:val="9"/>
        <w:rPr>
          <w:color w:val="000000"/>
        </w:rPr>
      </w:pPr>
      <w:r>
        <w:rPr>
          <w:rFonts w:cs="宋体"/>
          <w:color w:val="000000"/>
        </w:rPr>
        <w:t>8.</w:t>
      </w:r>
      <w:r>
        <w:rPr>
          <w:rFonts w:hint="eastAsia" w:cs="宋体"/>
          <w:color w:val="000000"/>
        </w:rPr>
        <w:t>第</w:t>
      </w:r>
      <w:r>
        <w:rPr>
          <w:rFonts w:cs="宋体"/>
          <w:color w:val="000000"/>
        </w:rPr>
        <w:t>8</w:t>
      </w:r>
      <w:r>
        <w:rPr>
          <w:rFonts w:hint="eastAsia" w:cs="宋体"/>
          <w:color w:val="000000"/>
        </w:rPr>
        <w:t>行“其他”：填报纳税人按照国家统一会计制度核算、上述未列举的其他主营业务收入。</w:t>
      </w:r>
    </w:p>
    <w:p>
      <w:pPr>
        <w:pStyle w:val="9"/>
        <w:rPr>
          <w:color w:val="000000"/>
        </w:rPr>
      </w:pPr>
      <w:r>
        <w:rPr>
          <w:rFonts w:cs="宋体"/>
          <w:color w:val="000000"/>
        </w:rPr>
        <w:t>9.</w:t>
      </w:r>
      <w:r>
        <w:rPr>
          <w:rFonts w:hint="eastAsia" w:cs="宋体"/>
          <w:color w:val="000000"/>
        </w:rPr>
        <w:t>第</w:t>
      </w:r>
      <w:r>
        <w:rPr>
          <w:rFonts w:cs="宋体"/>
          <w:color w:val="000000"/>
        </w:rPr>
        <w:t>9</w:t>
      </w:r>
      <w:r>
        <w:rPr>
          <w:rFonts w:hint="eastAsia" w:cs="宋体"/>
          <w:color w:val="000000"/>
        </w:rPr>
        <w:t>行“其他业务收入”：填报根据不同行业的业务性质分别填报纳税人核算的其他业务收入。</w:t>
      </w:r>
    </w:p>
    <w:p>
      <w:pPr>
        <w:pStyle w:val="9"/>
        <w:rPr>
          <w:rFonts w:cs="宋体"/>
          <w:color w:val="000000"/>
        </w:rPr>
      </w:pPr>
      <w:r>
        <w:rPr>
          <w:rFonts w:cs="宋体"/>
          <w:color w:val="000000"/>
        </w:rPr>
        <w:t>10.</w:t>
      </w:r>
      <w:r>
        <w:rPr>
          <w:rFonts w:hint="eastAsia" w:cs="宋体"/>
          <w:color w:val="000000"/>
        </w:rPr>
        <w:t>第</w:t>
      </w:r>
      <w:r>
        <w:rPr>
          <w:rFonts w:cs="宋体"/>
          <w:color w:val="000000"/>
        </w:rPr>
        <w:t>10</w:t>
      </w:r>
      <w:r>
        <w:rPr>
          <w:rFonts w:hint="eastAsia" w:cs="宋体"/>
          <w:color w:val="000000"/>
        </w:rPr>
        <w:t>行“销售材料收入”：填报纳税人销售材料、下脚料、废料、废旧物资等取得的收入。</w:t>
      </w:r>
    </w:p>
    <w:p>
      <w:pPr>
        <w:pStyle w:val="9"/>
        <w:rPr>
          <w:color w:val="000000"/>
        </w:rPr>
      </w:pPr>
      <w:r>
        <w:rPr>
          <w:color w:val="000000"/>
        </w:rPr>
        <w:t>11</w:t>
      </w:r>
      <w:r>
        <w:rPr>
          <w:rFonts w:hint="eastAsia"/>
          <w:color w:val="000000"/>
        </w:rPr>
        <w:t>.第</w:t>
      </w:r>
      <w:r>
        <w:rPr>
          <w:color w:val="000000"/>
        </w:rPr>
        <w:t>11</w:t>
      </w:r>
      <w:r>
        <w:rPr>
          <w:rFonts w:hint="eastAsia"/>
          <w:color w:val="000000"/>
        </w:rPr>
        <w:t>行“其中：非货币性资产交换收入”：</w:t>
      </w:r>
      <w:r>
        <w:rPr>
          <w:rFonts w:hint="eastAsia" w:cs="宋体"/>
          <w:color w:val="000000"/>
        </w:rPr>
        <w:t>填报纳税人发生的非货币性资产交换按照国家统一会计制度应确认的材料销售收入。</w:t>
      </w:r>
    </w:p>
    <w:p>
      <w:pPr>
        <w:pStyle w:val="9"/>
        <w:rPr>
          <w:color w:val="000000"/>
        </w:rPr>
      </w:pPr>
      <w:r>
        <w:rPr>
          <w:rFonts w:cs="宋体"/>
          <w:color w:val="000000"/>
        </w:rPr>
        <w:t>12.</w:t>
      </w:r>
      <w:r>
        <w:rPr>
          <w:rFonts w:hint="eastAsia" w:cs="宋体"/>
          <w:color w:val="000000"/>
        </w:rPr>
        <w:t>第</w:t>
      </w:r>
      <w:r>
        <w:rPr>
          <w:rFonts w:cs="宋体"/>
          <w:color w:val="000000"/>
        </w:rPr>
        <w:t>12</w:t>
      </w:r>
      <w:r>
        <w:rPr>
          <w:rFonts w:hint="eastAsia" w:cs="宋体"/>
          <w:color w:val="000000"/>
        </w:rPr>
        <w:t>行“出租固定资产收入”：填报纳税人将固定资产使用权让与承租人获取的其他业务收入。</w:t>
      </w:r>
    </w:p>
    <w:p>
      <w:pPr>
        <w:pStyle w:val="9"/>
        <w:rPr>
          <w:color w:val="000000"/>
        </w:rPr>
      </w:pPr>
      <w:r>
        <w:rPr>
          <w:rFonts w:cs="宋体"/>
          <w:color w:val="000000"/>
        </w:rPr>
        <w:t>13.</w:t>
      </w:r>
      <w:r>
        <w:rPr>
          <w:rFonts w:hint="eastAsia" w:cs="宋体"/>
          <w:color w:val="000000"/>
        </w:rPr>
        <w:t>第</w:t>
      </w:r>
      <w:r>
        <w:rPr>
          <w:rFonts w:cs="宋体"/>
          <w:color w:val="000000"/>
        </w:rPr>
        <w:t>13</w:t>
      </w:r>
      <w:r>
        <w:rPr>
          <w:rFonts w:hint="eastAsia" w:cs="宋体"/>
          <w:color w:val="000000"/>
        </w:rPr>
        <w:t>行“出租无形资产收入”：填报纳税人让渡无形资产使用权取得的其他业务收入。</w:t>
      </w:r>
    </w:p>
    <w:p>
      <w:pPr>
        <w:pStyle w:val="9"/>
        <w:rPr>
          <w:rFonts w:cs="宋体"/>
          <w:color w:val="000000"/>
        </w:rPr>
      </w:pPr>
      <w:r>
        <w:rPr>
          <w:rFonts w:cs="宋体"/>
          <w:color w:val="000000"/>
        </w:rPr>
        <w:t>14.</w:t>
      </w:r>
      <w:r>
        <w:rPr>
          <w:rFonts w:hint="eastAsia" w:cs="宋体"/>
          <w:color w:val="000000"/>
        </w:rPr>
        <w:t>第</w:t>
      </w:r>
      <w:r>
        <w:rPr>
          <w:rFonts w:cs="宋体"/>
          <w:color w:val="000000"/>
        </w:rPr>
        <w:t>14</w:t>
      </w:r>
      <w:r>
        <w:rPr>
          <w:rFonts w:hint="eastAsia" w:cs="宋体"/>
          <w:color w:val="000000"/>
        </w:rPr>
        <w:t>行“出租包装物和商品收入”：填报纳税人出租、出借包装物和商品取得的其他业务收入。</w:t>
      </w:r>
    </w:p>
    <w:p>
      <w:pPr>
        <w:pStyle w:val="9"/>
        <w:rPr>
          <w:rFonts w:cs="宋体"/>
          <w:color w:val="000000"/>
        </w:rPr>
      </w:pPr>
      <w:r>
        <w:rPr>
          <w:rFonts w:cs="宋体"/>
          <w:color w:val="000000"/>
        </w:rPr>
        <w:t>15.</w:t>
      </w:r>
      <w:r>
        <w:rPr>
          <w:rFonts w:hint="eastAsia" w:cs="宋体"/>
          <w:color w:val="000000"/>
        </w:rPr>
        <w:t>第</w:t>
      </w:r>
      <w:r>
        <w:rPr>
          <w:rFonts w:cs="宋体"/>
          <w:color w:val="000000"/>
        </w:rPr>
        <w:t>15</w:t>
      </w:r>
      <w:r>
        <w:rPr>
          <w:rFonts w:hint="eastAsia" w:cs="宋体"/>
          <w:color w:val="000000"/>
        </w:rPr>
        <w:t>行“其他”：填报纳税人按照国家统一会计制度核算，上述未列举的其他业务收入。</w:t>
      </w:r>
    </w:p>
    <w:p>
      <w:pPr>
        <w:pStyle w:val="9"/>
        <w:rPr>
          <w:rFonts w:cs="宋体"/>
          <w:color w:val="000000"/>
        </w:rPr>
      </w:pPr>
      <w:r>
        <w:rPr>
          <w:rFonts w:cs="宋体"/>
          <w:color w:val="000000"/>
        </w:rPr>
        <w:t>16.</w:t>
      </w:r>
      <w:r>
        <w:rPr>
          <w:rFonts w:hint="eastAsia" w:cs="宋体"/>
          <w:color w:val="000000"/>
        </w:rPr>
        <w:t>第</w:t>
      </w:r>
      <w:r>
        <w:rPr>
          <w:rFonts w:cs="宋体"/>
          <w:color w:val="000000"/>
        </w:rPr>
        <w:t>16</w:t>
      </w:r>
      <w:r>
        <w:rPr>
          <w:rFonts w:hint="eastAsia" w:cs="宋体"/>
          <w:color w:val="000000"/>
        </w:rPr>
        <w:t>行“营业外收入”：填报纳税人计入本科目核算的与生产经营无直接关系的各项收入。</w:t>
      </w:r>
    </w:p>
    <w:p>
      <w:pPr>
        <w:pStyle w:val="9"/>
        <w:rPr>
          <w:rFonts w:cs="宋体"/>
          <w:color w:val="000000"/>
        </w:rPr>
      </w:pPr>
      <w:r>
        <w:rPr>
          <w:rFonts w:cs="宋体"/>
          <w:color w:val="000000"/>
        </w:rPr>
        <w:t>17.</w:t>
      </w:r>
      <w:r>
        <w:rPr>
          <w:rFonts w:hint="eastAsia" w:cs="宋体"/>
          <w:color w:val="000000"/>
        </w:rPr>
        <w:t>第</w:t>
      </w:r>
      <w:r>
        <w:rPr>
          <w:rFonts w:cs="宋体"/>
          <w:color w:val="000000"/>
        </w:rPr>
        <w:t>17</w:t>
      </w:r>
      <w:r>
        <w:rPr>
          <w:rFonts w:hint="eastAsia" w:cs="宋体"/>
          <w:color w:val="000000"/>
        </w:rPr>
        <w:t>行“非流动资产处置利得”：填报纳税人处置固定资产、无形资产等取得的净收益。</w:t>
      </w:r>
    </w:p>
    <w:p>
      <w:pPr>
        <w:pStyle w:val="9"/>
        <w:rPr>
          <w:rFonts w:cs="宋体"/>
          <w:color w:val="000000"/>
        </w:rPr>
      </w:pPr>
      <w:r>
        <w:rPr>
          <w:rFonts w:cs="宋体"/>
          <w:color w:val="000000"/>
        </w:rPr>
        <w:t>18.</w:t>
      </w:r>
      <w:r>
        <w:rPr>
          <w:rFonts w:hint="eastAsia" w:cs="宋体"/>
          <w:color w:val="000000"/>
        </w:rPr>
        <w:t>第</w:t>
      </w:r>
      <w:r>
        <w:rPr>
          <w:rFonts w:cs="宋体"/>
          <w:color w:val="000000"/>
        </w:rPr>
        <w:t>18</w:t>
      </w:r>
      <w:r>
        <w:rPr>
          <w:rFonts w:hint="eastAsia" w:cs="宋体"/>
          <w:color w:val="000000"/>
        </w:rPr>
        <w:t>行“非货币性资产交换利得”：填报纳税人发生非货币性资产交换应确认的净收益。</w:t>
      </w:r>
    </w:p>
    <w:p>
      <w:pPr>
        <w:pStyle w:val="9"/>
        <w:rPr>
          <w:rFonts w:cs="宋体"/>
          <w:color w:val="000000"/>
        </w:rPr>
      </w:pPr>
      <w:r>
        <w:rPr>
          <w:rFonts w:cs="宋体"/>
          <w:color w:val="000000"/>
        </w:rPr>
        <w:t>19.</w:t>
      </w:r>
      <w:r>
        <w:rPr>
          <w:rFonts w:hint="eastAsia" w:cs="宋体"/>
          <w:color w:val="000000"/>
        </w:rPr>
        <w:t>第</w:t>
      </w:r>
      <w:r>
        <w:rPr>
          <w:rFonts w:cs="宋体"/>
          <w:color w:val="000000"/>
        </w:rPr>
        <w:t>19</w:t>
      </w:r>
      <w:r>
        <w:rPr>
          <w:rFonts w:hint="eastAsia" w:cs="宋体"/>
          <w:color w:val="000000"/>
        </w:rPr>
        <w:t>行“债务重组利得”：填报纳税人发生的债务重组业务确认的净收益。</w:t>
      </w:r>
    </w:p>
    <w:p>
      <w:pPr>
        <w:pStyle w:val="9"/>
        <w:rPr>
          <w:rFonts w:cs="宋体"/>
          <w:color w:val="000000"/>
        </w:rPr>
      </w:pPr>
      <w:r>
        <w:rPr>
          <w:rFonts w:cs="宋体"/>
          <w:color w:val="000000"/>
        </w:rPr>
        <w:t>20.</w:t>
      </w:r>
      <w:r>
        <w:rPr>
          <w:rFonts w:hint="eastAsia" w:cs="宋体"/>
          <w:color w:val="000000"/>
        </w:rPr>
        <w:t>第</w:t>
      </w:r>
      <w:r>
        <w:rPr>
          <w:rFonts w:cs="宋体"/>
          <w:color w:val="000000"/>
        </w:rPr>
        <w:t>20</w:t>
      </w:r>
      <w:r>
        <w:rPr>
          <w:rFonts w:hint="eastAsia" w:cs="宋体"/>
          <w:color w:val="000000"/>
        </w:rPr>
        <w:t>行“政府补助利得”：填报纳税人从政府无偿取得货币性资产或非货币性资产应确认的净收益。</w:t>
      </w:r>
    </w:p>
    <w:p>
      <w:pPr>
        <w:pStyle w:val="9"/>
        <w:rPr>
          <w:rFonts w:cs="宋体"/>
          <w:color w:val="000000"/>
        </w:rPr>
      </w:pPr>
      <w:r>
        <w:rPr>
          <w:rFonts w:cs="宋体"/>
          <w:color w:val="000000"/>
        </w:rPr>
        <w:t>21.</w:t>
      </w:r>
      <w:r>
        <w:rPr>
          <w:rFonts w:hint="eastAsia" w:cs="宋体"/>
          <w:color w:val="000000"/>
        </w:rPr>
        <w:t>第</w:t>
      </w:r>
      <w:r>
        <w:rPr>
          <w:rFonts w:cs="宋体"/>
          <w:color w:val="000000"/>
        </w:rPr>
        <w:t>21</w:t>
      </w:r>
      <w:r>
        <w:rPr>
          <w:rFonts w:hint="eastAsia" w:cs="宋体"/>
          <w:color w:val="000000"/>
        </w:rPr>
        <w:t>行“盘盈利得”：填报纳税人在清查财产过程中查明的各种财产盘盈应确认的净收益。</w:t>
      </w:r>
    </w:p>
    <w:p>
      <w:pPr>
        <w:pStyle w:val="9"/>
        <w:rPr>
          <w:rFonts w:cs="宋体"/>
          <w:color w:val="000000"/>
        </w:rPr>
      </w:pPr>
      <w:r>
        <w:rPr>
          <w:rFonts w:cs="宋体"/>
          <w:color w:val="000000"/>
        </w:rPr>
        <w:t>22.</w:t>
      </w:r>
      <w:r>
        <w:rPr>
          <w:rFonts w:hint="eastAsia" w:cs="宋体"/>
          <w:color w:val="000000"/>
        </w:rPr>
        <w:t>第</w:t>
      </w:r>
      <w:r>
        <w:rPr>
          <w:rFonts w:cs="宋体"/>
          <w:color w:val="000000"/>
        </w:rPr>
        <w:t>22</w:t>
      </w:r>
      <w:r>
        <w:rPr>
          <w:rFonts w:hint="eastAsia" w:cs="宋体"/>
          <w:color w:val="000000"/>
        </w:rPr>
        <w:t>行“捐赠利得”：填报纳税人接受的来自企业、组织或个人无偿给予的货币性资产、非货币性资产捐赠应确认的净收益。</w:t>
      </w:r>
    </w:p>
    <w:p>
      <w:pPr>
        <w:pStyle w:val="9"/>
        <w:rPr>
          <w:rFonts w:cs="宋体"/>
          <w:color w:val="000000"/>
        </w:rPr>
      </w:pPr>
      <w:r>
        <w:rPr>
          <w:rFonts w:cs="宋体"/>
          <w:color w:val="000000"/>
        </w:rPr>
        <w:t>23.</w:t>
      </w:r>
      <w:r>
        <w:rPr>
          <w:rFonts w:hint="eastAsia" w:cs="宋体"/>
          <w:color w:val="000000"/>
        </w:rPr>
        <w:t>第</w:t>
      </w:r>
      <w:r>
        <w:rPr>
          <w:rFonts w:cs="宋体"/>
          <w:color w:val="000000"/>
        </w:rPr>
        <w:t>23</w:t>
      </w:r>
      <w:r>
        <w:rPr>
          <w:rFonts w:hint="eastAsia" w:cs="宋体"/>
          <w:color w:val="000000"/>
        </w:rPr>
        <w:t>行“罚没利得”：填报纳税人在日常经营管理活动中取得的罚款、没收收入应确认的净收益。</w:t>
      </w:r>
    </w:p>
    <w:p>
      <w:pPr>
        <w:pStyle w:val="9"/>
        <w:rPr>
          <w:rFonts w:cs="宋体"/>
          <w:color w:val="000000"/>
        </w:rPr>
      </w:pPr>
      <w:r>
        <w:rPr>
          <w:rFonts w:cs="宋体"/>
          <w:color w:val="000000"/>
        </w:rPr>
        <w:t>24.</w:t>
      </w:r>
      <w:r>
        <w:rPr>
          <w:rFonts w:hint="eastAsia" w:cs="宋体"/>
          <w:color w:val="000000"/>
        </w:rPr>
        <w:t>第</w:t>
      </w:r>
      <w:r>
        <w:rPr>
          <w:rFonts w:cs="宋体"/>
          <w:color w:val="000000"/>
        </w:rPr>
        <w:t>24</w:t>
      </w:r>
      <w:r>
        <w:rPr>
          <w:rFonts w:hint="eastAsia" w:cs="宋体"/>
          <w:color w:val="000000"/>
        </w:rPr>
        <w:t>行“确实无法偿付的应付款项”：填报纳税人因确实无法偿付的应付款项而确认的收入。</w:t>
      </w:r>
    </w:p>
    <w:p>
      <w:pPr>
        <w:pStyle w:val="9"/>
        <w:rPr>
          <w:rFonts w:cs="宋体"/>
          <w:color w:val="000000"/>
        </w:rPr>
      </w:pPr>
      <w:r>
        <w:rPr>
          <w:rFonts w:cs="宋体"/>
          <w:color w:val="000000"/>
        </w:rPr>
        <w:t>25</w:t>
      </w:r>
      <w:r>
        <w:rPr>
          <w:rFonts w:hint="eastAsia" w:cs="宋体"/>
          <w:color w:val="000000"/>
        </w:rPr>
        <w:t>.第</w:t>
      </w:r>
      <w:r>
        <w:rPr>
          <w:rFonts w:cs="宋体"/>
          <w:color w:val="000000"/>
        </w:rPr>
        <w:t>25</w:t>
      </w:r>
      <w:r>
        <w:rPr>
          <w:rFonts w:hint="eastAsia" w:cs="宋体"/>
          <w:color w:val="000000"/>
        </w:rPr>
        <w:t>行“汇兑收益”：填报纳税人取得企业外币货币性项目因汇率变动形成的收益应确认的收入。（该项目为执行小企业会计准则企业填报）</w:t>
      </w:r>
    </w:p>
    <w:p>
      <w:pPr>
        <w:pStyle w:val="9"/>
        <w:rPr>
          <w:rFonts w:cs="宋体"/>
          <w:color w:val="000000"/>
        </w:rPr>
      </w:pPr>
      <w:r>
        <w:rPr>
          <w:rFonts w:cs="宋体"/>
          <w:color w:val="000000"/>
        </w:rPr>
        <w:t>26.</w:t>
      </w:r>
      <w:r>
        <w:rPr>
          <w:rFonts w:hint="eastAsia" w:cs="宋体"/>
          <w:color w:val="000000"/>
        </w:rPr>
        <w:t>第</w:t>
      </w:r>
      <w:r>
        <w:rPr>
          <w:rFonts w:cs="宋体"/>
          <w:color w:val="000000"/>
        </w:rPr>
        <w:t>26</w:t>
      </w:r>
      <w:r>
        <w:rPr>
          <w:rFonts w:hint="eastAsia" w:cs="宋体"/>
          <w:color w:val="000000"/>
        </w:rPr>
        <w:t>行“其他”：</w:t>
      </w:r>
      <w:r>
        <w:rPr>
          <w:rFonts w:hint="eastAsia"/>
          <w:color w:val="000000"/>
        </w:rPr>
        <w:t>填报纳税人取得的上述项目未列举的其他营业外收入，</w:t>
      </w:r>
      <w:r>
        <w:rPr>
          <w:rFonts w:hint="eastAsia" w:cs="宋体"/>
          <w:color w:val="000000"/>
        </w:rPr>
        <w:t>包括执行企业会计准则纳税人按权益法核算长期股权投资对初始投资成本调整确认的收益，执行小企业会计准则纳税人取得的出租包装物和商品的租金收入、逾期未退包装物押金收益等。</w:t>
      </w:r>
    </w:p>
    <w:p>
      <w:pPr>
        <w:pStyle w:val="11"/>
        <w:ind w:firstLine="482"/>
        <w:rPr>
          <w:color w:val="000000"/>
        </w:rPr>
      </w:pPr>
      <w:bookmarkStart w:id="26" w:name="_Toc393480187"/>
      <w:r>
        <w:rPr>
          <w:rFonts w:hint="eastAsia"/>
          <w:color w:val="000000"/>
        </w:rPr>
        <w:t>二、表内、表间关系</w:t>
      </w:r>
      <w:bookmarkEnd w:id="26"/>
    </w:p>
    <w:p>
      <w:pPr>
        <w:pStyle w:val="12"/>
        <w:rPr>
          <w:color w:val="000000"/>
        </w:rPr>
      </w:pPr>
      <w:r>
        <w:rPr>
          <w:rFonts w:hint="eastAsia"/>
          <w:color w:val="000000"/>
        </w:rPr>
        <w:t>（一）表内关系</w:t>
      </w:r>
    </w:p>
    <w:p>
      <w:pPr>
        <w:pStyle w:val="9"/>
        <w:rPr>
          <w:color w:val="000000"/>
        </w:rPr>
      </w:pPr>
      <w:r>
        <w:rPr>
          <w:color w:val="000000"/>
        </w:rPr>
        <w:t>1.</w:t>
      </w:r>
      <w:r>
        <w:rPr>
          <w:rFonts w:hint="eastAsia"/>
          <w:color w:val="000000"/>
        </w:rPr>
        <w:t>第</w:t>
      </w:r>
      <w:r>
        <w:rPr>
          <w:color w:val="000000"/>
        </w:rPr>
        <w:t>1</w:t>
      </w:r>
      <w:r>
        <w:rPr>
          <w:rFonts w:hint="eastAsia"/>
          <w:color w:val="000000"/>
        </w:rPr>
        <w:t>行</w:t>
      </w:r>
      <w:r>
        <w:rPr>
          <w:color w:val="000000"/>
        </w:rPr>
        <w:t>＝</w:t>
      </w:r>
      <w:r>
        <w:rPr>
          <w:rFonts w:hint="eastAsia"/>
          <w:color w:val="000000"/>
        </w:rPr>
        <w:t>第</w:t>
      </w:r>
      <w:r>
        <w:rPr>
          <w:color w:val="000000"/>
        </w:rPr>
        <w:t>2+9</w:t>
      </w:r>
      <w:r>
        <w:rPr>
          <w:rFonts w:hint="eastAsia"/>
          <w:color w:val="000000"/>
        </w:rPr>
        <w:t>行。</w:t>
      </w:r>
    </w:p>
    <w:p>
      <w:pPr>
        <w:pStyle w:val="9"/>
        <w:rPr>
          <w:color w:val="000000"/>
        </w:rPr>
      </w:pPr>
      <w:r>
        <w:rPr>
          <w:color w:val="000000"/>
        </w:rPr>
        <w:t>2.</w:t>
      </w:r>
      <w:r>
        <w:rPr>
          <w:rFonts w:hint="eastAsia"/>
          <w:color w:val="000000"/>
        </w:rPr>
        <w:t>第</w:t>
      </w:r>
      <w:r>
        <w:rPr>
          <w:color w:val="000000"/>
        </w:rPr>
        <w:t>2</w:t>
      </w:r>
      <w:r>
        <w:rPr>
          <w:rFonts w:hint="eastAsia"/>
          <w:color w:val="000000"/>
        </w:rPr>
        <w:t>行</w:t>
      </w:r>
      <w:r>
        <w:rPr>
          <w:color w:val="000000"/>
        </w:rPr>
        <w:t>＝</w:t>
      </w:r>
      <w:r>
        <w:rPr>
          <w:rFonts w:hint="eastAsia"/>
          <w:color w:val="000000"/>
        </w:rPr>
        <w:t>第</w:t>
      </w:r>
      <w:r>
        <w:rPr>
          <w:color w:val="000000"/>
        </w:rPr>
        <w:t>3+5+6+7</w:t>
      </w:r>
      <w:r>
        <w:rPr>
          <w:rFonts w:hint="eastAsia"/>
          <w:color w:val="000000"/>
        </w:rPr>
        <w:t>+8行。</w:t>
      </w:r>
    </w:p>
    <w:p>
      <w:pPr>
        <w:pStyle w:val="9"/>
        <w:rPr>
          <w:color w:val="000000"/>
        </w:rPr>
      </w:pPr>
      <w:r>
        <w:rPr>
          <w:color w:val="000000"/>
        </w:rPr>
        <w:t>3.</w:t>
      </w:r>
      <w:r>
        <w:rPr>
          <w:rFonts w:hint="eastAsia"/>
          <w:color w:val="000000"/>
        </w:rPr>
        <w:t>第</w:t>
      </w:r>
      <w:r>
        <w:rPr>
          <w:color w:val="000000"/>
        </w:rPr>
        <w:t>9</w:t>
      </w:r>
      <w:r>
        <w:rPr>
          <w:rFonts w:hint="eastAsia"/>
          <w:color w:val="000000"/>
        </w:rPr>
        <w:t>行</w:t>
      </w:r>
      <w:r>
        <w:rPr>
          <w:color w:val="000000"/>
        </w:rPr>
        <w:t>＝</w:t>
      </w:r>
      <w:r>
        <w:rPr>
          <w:rFonts w:hint="eastAsia"/>
          <w:color w:val="000000"/>
        </w:rPr>
        <w:t>第</w:t>
      </w:r>
      <w:r>
        <w:rPr>
          <w:color w:val="000000"/>
        </w:rPr>
        <w:t>10+12+13+14+15</w:t>
      </w:r>
      <w:r>
        <w:rPr>
          <w:rFonts w:hint="eastAsia"/>
          <w:color w:val="000000"/>
        </w:rPr>
        <w:t>行。</w:t>
      </w:r>
    </w:p>
    <w:p>
      <w:pPr>
        <w:pStyle w:val="9"/>
        <w:rPr>
          <w:color w:val="000000"/>
        </w:rPr>
      </w:pPr>
      <w:r>
        <w:rPr>
          <w:color w:val="000000"/>
        </w:rPr>
        <w:t>4.</w:t>
      </w:r>
      <w:r>
        <w:rPr>
          <w:rFonts w:hint="eastAsia"/>
          <w:color w:val="000000"/>
        </w:rPr>
        <w:t>第</w:t>
      </w:r>
      <w:r>
        <w:rPr>
          <w:color w:val="000000"/>
        </w:rPr>
        <w:t>16</w:t>
      </w:r>
      <w:r>
        <w:rPr>
          <w:rFonts w:hint="eastAsia"/>
          <w:color w:val="000000"/>
        </w:rPr>
        <w:t>行</w:t>
      </w:r>
      <w:r>
        <w:rPr>
          <w:color w:val="000000"/>
        </w:rPr>
        <w:t>＝</w:t>
      </w:r>
      <w:r>
        <w:rPr>
          <w:rFonts w:hint="eastAsia"/>
          <w:color w:val="000000"/>
        </w:rPr>
        <w:t>第</w:t>
      </w:r>
      <w:r>
        <w:rPr>
          <w:color w:val="000000"/>
        </w:rPr>
        <w:t>17+18+</w:t>
      </w:r>
      <w:r>
        <w:rPr>
          <w:rFonts w:hint="eastAsia"/>
          <w:color w:val="000000"/>
        </w:rPr>
        <w:t>19+20+21+22+23+24+25</w:t>
      </w:r>
      <w:r>
        <w:rPr>
          <w:color w:val="000000"/>
        </w:rPr>
        <w:t>+26</w:t>
      </w:r>
      <w:r>
        <w:rPr>
          <w:rFonts w:hint="eastAsia"/>
          <w:color w:val="000000"/>
        </w:rPr>
        <w:t>行。</w:t>
      </w:r>
    </w:p>
    <w:p>
      <w:pPr>
        <w:pStyle w:val="12"/>
        <w:rPr>
          <w:color w:val="000000"/>
        </w:rPr>
      </w:pPr>
      <w:r>
        <w:rPr>
          <w:rFonts w:hint="eastAsia"/>
          <w:color w:val="000000"/>
        </w:rPr>
        <w:t>（二）表间关系</w:t>
      </w:r>
    </w:p>
    <w:p>
      <w:pPr>
        <w:pStyle w:val="9"/>
        <w:rPr>
          <w:color w:val="000000"/>
        </w:rPr>
      </w:pPr>
      <w:r>
        <w:rPr>
          <w:rFonts w:hint="eastAsia"/>
          <w:color w:val="000000"/>
        </w:rPr>
        <w:t>1.第</w:t>
      </w:r>
      <w:r>
        <w:rPr>
          <w:color w:val="000000"/>
        </w:rPr>
        <w:t>1</w:t>
      </w:r>
      <w:r>
        <w:rPr>
          <w:rFonts w:hint="eastAsia"/>
          <w:color w:val="000000"/>
        </w:rPr>
        <w:t>行</w:t>
      </w:r>
      <w:r>
        <w:rPr>
          <w:color w:val="000000"/>
        </w:rPr>
        <w:t>＝</w:t>
      </w:r>
      <w:r>
        <w:rPr>
          <w:rFonts w:hint="eastAsia"/>
          <w:color w:val="000000"/>
        </w:rPr>
        <w:t>表</w:t>
      </w:r>
      <w:r>
        <w:rPr>
          <w:color w:val="000000"/>
        </w:rPr>
        <w:t>A10000</w:t>
      </w:r>
      <w:r>
        <w:rPr>
          <w:rFonts w:hint="eastAsia"/>
          <w:color w:val="000000"/>
        </w:rPr>
        <w:t>0第</w:t>
      </w:r>
      <w:r>
        <w:rPr>
          <w:color w:val="000000"/>
        </w:rPr>
        <w:t>1</w:t>
      </w:r>
      <w:r>
        <w:rPr>
          <w:rFonts w:hint="eastAsia"/>
          <w:color w:val="000000"/>
        </w:rPr>
        <w:t>行。</w:t>
      </w:r>
    </w:p>
    <w:p>
      <w:pPr>
        <w:pStyle w:val="9"/>
        <w:rPr>
          <w:color w:val="000000"/>
        </w:rPr>
        <w:sectPr>
          <w:pgSz w:w="11906" w:h="16838"/>
          <w:pgMar w:top="1985" w:right="1418" w:bottom="1928" w:left="1418" w:header="851" w:footer="992" w:gutter="113"/>
          <w:cols w:space="425" w:num="1"/>
          <w:docGrid w:linePitch="312" w:charSpace="0"/>
        </w:sectPr>
      </w:pPr>
      <w:r>
        <w:rPr>
          <w:rFonts w:hint="eastAsia"/>
          <w:color w:val="000000"/>
        </w:rPr>
        <w:t>2.第</w:t>
      </w:r>
      <w:r>
        <w:rPr>
          <w:color w:val="000000"/>
        </w:rPr>
        <w:t>16</w:t>
      </w:r>
      <w:r>
        <w:rPr>
          <w:rFonts w:hint="eastAsia"/>
          <w:color w:val="000000"/>
        </w:rPr>
        <w:t>行</w:t>
      </w:r>
      <w:r>
        <w:rPr>
          <w:color w:val="000000"/>
        </w:rPr>
        <w:t>＝</w:t>
      </w:r>
      <w:r>
        <w:rPr>
          <w:rFonts w:hint="eastAsia"/>
          <w:color w:val="000000"/>
        </w:rPr>
        <w:t>表</w:t>
      </w:r>
      <w:r>
        <w:rPr>
          <w:color w:val="000000"/>
        </w:rPr>
        <w:t>A10000</w:t>
      </w:r>
      <w:r>
        <w:rPr>
          <w:rFonts w:hint="eastAsia"/>
          <w:color w:val="000000"/>
        </w:rPr>
        <w:t>0第</w:t>
      </w:r>
      <w:r>
        <w:rPr>
          <w:color w:val="000000"/>
        </w:rPr>
        <w:t>11</w:t>
      </w:r>
      <w:r>
        <w:rPr>
          <w:rFonts w:hint="eastAsia"/>
          <w:color w:val="000000"/>
        </w:rPr>
        <w:t>行。</w:t>
      </w:r>
    </w:p>
    <w:p>
      <w:pPr>
        <w:pStyle w:val="10"/>
      </w:pPr>
      <w:bookmarkStart w:id="27" w:name="_Toc499456559"/>
      <w:r>
        <w:rPr>
          <w:rFonts w:hint="eastAsia"/>
        </w:rPr>
        <w:t>A101020</w:t>
      </w:r>
      <w:r>
        <w:tab/>
      </w:r>
      <w:r>
        <w:rPr>
          <w:rFonts w:hint="eastAsia"/>
        </w:rPr>
        <w:t>金融企业收入明细表</w:t>
      </w:r>
      <w:bookmarkEnd w:id="27"/>
    </w:p>
    <w:tbl>
      <w:tblPr>
        <w:tblStyle w:val="7"/>
        <w:tblW w:w="92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6280"/>
        <w:gridCol w:w="23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6280" w:type="dxa"/>
            <w:shd w:val="clear" w:color="auto" w:fill="auto"/>
            <w:vAlign w:val="center"/>
          </w:tcPr>
          <w:p>
            <w:pPr>
              <w:widowControl/>
              <w:ind w:left="2520" w:leftChars="1200" w:right="2520" w:rightChars="1200"/>
              <w:jc w:val="distribute"/>
              <w:rPr>
                <w:rFonts w:ascii="宋体" w:hAnsi="宋体" w:cs="宋体"/>
                <w:kern w:val="0"/>
                <w:sz w:val="20"/>
                <w:szCs w:val="20"/>
              </w:rPr>
            </w:pPr>
            <w:r>
              <w:rPr>
                <w:rFonts w:hint="eastAsia" w:ascii="宋体" w:hAnsi="宋体" w:cs="宋体"/>
                <w:kern w:val="0"/>
                <w:sz w:val="20"/>
                <w:szCs w:val="20"/>
              </w:rPr>
              <w:t>项目</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spacing w:val="300"/>
                <w:kern w:val="0"/>
                <w:sz w:val="20"/>
                <w:szCs w:val="20"/>
                <w:fitText w:val="1000" w:id="1"/>
              </w:rPr>
              <w:t>金</w:t>
            </w:r>
            <w:r>
              <w:rPr>
                <w:rFonts w:hint="eastAsia" w:ascii="宋体" w:hAnsi="宋体" w:cs="宋体"/>
                <w:kern w:val="0"/>
                <w:sz w:val="20"/>
                <w:szCs w:val="20"/>
                <w:fitText w:val="1000" w:id="1"/>
              </w:rPr>
              <w:t>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62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一、营业收入（2+18+27+32+33+34）</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6280" w:type="dxa"/>
            <w:shd w:val="clear" w:color="auto" w:fill="auto"/>
            <w:vAlign w:val="center"/>
          </w:tcPr>
          <w:p>
            <w:pPr>
              <w:widowControl/>
              <w:ind w:left="420" w:leftChars="200"/>
              <w:jc w:val="left"/>
              <w:rPr>
                <w:rFonts w:ascii="宋体" w:hAnsi="宋体" w:cs="宋体"/>
                <w:kern w:val="0"/>
                <w:sz w:val="20"/>
                <w:szCs w:val="20"/>
              </w:rPr>
            </w:pPr>
            <w:r>
              <w:rPr>
                <w:rFonts w:hint="eastAsia" w:ascii="宋体" w:hAnsi="宋体" w:cs="宋体"/>
                <w:kern w:val="0"/>
                <w:sz w:val="20"/>
                <w:szCs w:val="20"/>
              </w:rPr>
              <w:t>（一）银行业务收入（3+10）</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6280" w:type="dxa"/>
            <w:shd w:val="clear" w:color="auto" w:fill="auto"/>
            <w:vAlign w:val="center"/>
          </w:tcPr>
          <w:p>
            <w:pPr>
              <w:widowControl/>
              <w:ind w:left="840" w:leftChars="400"/>
              <w:jc w:val="left"/>
              <w:rPr>
                <w:rFonts w:ascii="宋体" w:hAnsi="宋体" w:cs="宋体"/>
                <w:kern w:val="0"/>
                <w:sz w:val="20"/>
                <w:szCs w:val="20"/>
              </w:rPr>
            </w:pPr>
            <w:r>
              <w:rPr>
                <w:rFonts w:hint="eastAsia" w:ascii="宋体" w:hAnsi="宋体" w:cs="宋体"/>
                <w:kern w:val="0"/>
                <w:sz w:val="20"/>
                <w:szCs w:val="20"/>
              </w:rPr>
              <w:t>1.利息收入（4+5+6+7+8+9）</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6280" w:type="dxa"/>
            <w:shd w:val="clear" w:color="auto" w:fill="auto"/>
            <w:vAlign w:val="center"/>
          </w:tcPr>
          <w:p>
            <w:pPr>
              <w:widowControl/>
              <w:ind w:left="939" w:leftChars="447"/>
              <w:jc w:val="left"/>
              <w:rPr>
                <w:rFonts w:ascii="宋体" w:hAnsi="宋体" w:cs="宋体"/>
                <w:kern w:val="0"/>
                <w:sz w:val="20"/>
                <w:szCs w:val="20"/>
              </w:rPr>
            </w:pPr>
            <w:r>
              <w:rPr>
                <w:rFonts w:hint="eastAsia" w:ascii="宋体" w:hAnsi="宋体" w:cs="宋体"/>
                <w:kern w:val="0"/>
                <w:sz w:val="20"/>
                <w:szCs w:val="20"/>
              </w:rPr>
              <w:t>（1）存放同业</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6280" w:type="dxa"/>
            <w:shd w:val="clear" w:color="auto" w:fill="auto"/>
            <w:vAlign w:val="center"/>
          </w:tcPr>
          <w:p>
            <w:pPr>
              <w:widowControl/>
              <w:ind w:left="939" w:leftChars="447"/>
              <w:jc w:val="left"/>
              <w:rPr>
                <w:rFonts w:ascii="宋体" w:hAnsi="宋体" w:cs="宋体"/>
                <w:kern w:val="0"/>
                <w:sz w:val="20"/>
                <w:szCs w:val="20"/>
              </w:rPr>
            </w:pPr>
            <w:r>
              <w:rPr>
                <w:rFonts w:hint="eastAsia" w:ascii="宋体" w:hAnsi="宋体" w:cs="宋体"/>
                <w:kern w:val="0"/>
                <w:sz w:val="20"/>
                <w:szCs w:val="20"/>
              </w:rPr>
              <w:t>（2）存放中央银行</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6280" w:type="dxa"/>
            <w:shd w:val="clear" w:color="auto" w:fill="auto"/>
            <w:vAlign w:val="center"/>
          </w:tcPr>
          <w:p>
            <w:pPr>
              <w:widowControl/>
              <w:ind w:left="939" w:leftChars="447"/>
              <w:jc w:val="left"/>
              <w:rPr>
                <w:rFonts w:ascii="宋体" w:hAnsi="宋体" w:cs="宋体"/>
                <w:kern w:val="0"/>
                <w:sz w:val="20"/>
                <w:szCs w:val="20"/>
              </w:rPr>
            </w:pPr>
            <w:r>
              <w:rPr>
                <w:rFonts w:hint="eastAsia" w:ascii="宋体" w:hAnsi="宋体" w:cs="宋体"/>
                <w:kern w:val="0"/>
                <w:sz w:val="20"/>
                <w:szCs w:val="20"/>
              </w:rPr>
              <w:t>（3）拆出资金</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6280" w:type="dxa"/>
            <w:shd w:val="clear" w:color="auto" w:fill="auto"/>
            <w:vAlign w:val="center"/>
          </w:tcPr>
          <w:p>
            <w:pPr>
              <w:widowControl/>
              <w:ind w:left="939" w:leftChars="447"/>
              <w:jc w:val="left"/>
              <w:rPr>
                <w:rFonts w:ascii="宋体" w:hAnsi="宋体" w:cs="宋体"/>
                <w:kern w:val="0"/>
                <w:sz w:val="20"/>
                <w:szCs w:val="20"/>
              </w:rPr>
            </w:pPr>
            <w:r>
              <w:rPr>
                <w:rFonts w:hint="eastAsia" w:ascii="宋体" w:hAnsi="宋体" w:cs="宋体"/>
                <w:kern w:val="0"/>
                <w:sz w:val="20"/>
                <w:szCs w:val="20"/>
              </w:rPr>
              <w:t>（4）发放贷款及垫资</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6280" w:type="dxa"/>
            <w:shd w:val="clear" w:color="auto" w:fill="auto"/>
            <w:vAlign w:val="center"/>
          </w:tcPr>
          <w:p>
            <w:pPr>
              <w:widowControl/>
              <w:ind w:left="939" w:leftChars="447"/>
              <w:jc w:val="left"/>
              <w:rPr>
                <w:rFonts w:ascii="宋体" w:hAnsi="宋体" w:cs="宋体"/>
                <w:kern w:val="0"/>
                <w:sz w:val="20"/>
                <w:szCs w:val="20"/>
              </w:rPr>
            </w:pPr>
            <w:r>
              <w:rPr>
                <w:rFonts w:hint="eastAsia" w:ascii="宋体" w:hAnsi="宋体" w:cs="宋体"/>
                <w:kern w:val="0"/>
                <w:sz w:val="20"/>
                <w:szCs w:val="20"/>
              </w:rPr>
              <w:t>（5）买入返售金融资产</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6280" w:type="dxa"/>
            <w:shd w:val="clear" w:color="auto" w:fill="auto"/>
            <w:vAlign w:val="center"/>
          </w:tcPr>
          <w:p>
            <w:pPr>
              <w:widowControl/>
              <w:ind w:left="939" w:leftChars="447"/>
              <w:jc w:val="left"/>
              <w:rPr>
                <w:rFonts w:ascii="宋体" w:hAnsi="宋体" w:cs="宋体"/>
                <w:kern w:val="0"/>
                <w:sz w:val="20"/>
                <w:szCs w:val="20"/>
              </w:rPr>
            </w:pPr>
            <w:r>
              <w:rPr>
                <w:rFonts w:hint="eastAsia" w:ascii="宋体" w:hAnsi="宋体" w:cs="宋体"/>
                <w:kern w:val="0"/>
                <w:sz w:val="20"/>
                <w:szCs w:val="20"/>
              </w:rPr>
              <w:t>（6）其他</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6280" w:type="dxa"/>
            <w:shd w:val="clear" w:color="auto" w:fill="auto"/>
            <w:vAlign w:val="center"/>
          </w:tcPr>
          <w:p>
            <w:pPr>
              <w:widowControl/>
              <w:ind w:left="840" w:leftChars="400"/>
              <w:jc w:val="left"/>
              <w:rPr>
                <w:rFonts w:ascii="宋体" w:hAnsi="宋体" w:cs="宋体"/>
                <w:kern w:val="0"/>
                <w:sz w:val="20"/>
                <w:szCs w:val="20"/>
              </w:rPr>
            </w:pPr>
            <w:r>
              <w:rPr>
                <w:rFonts w:hint="eastAsia" w:ascii="宋体" w:hAnsi="宋体" w:cs="宋体"/>
                <w:kern w:val="0"/>
                <w:sz w:val="20"/>
                <w:szCs w:val="20"/>
              </w:rPr>
              <w:t>2.手续费及佣金收入（11+12+13+14+15+16+17）</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6280" w:type="dxa"/>
            <w:shd w:val="clear" w:color="auto" w:fill="auto"/>
            <w:vAlign w:val="center"/>
          </w:tcPr>
          <w:p>
            <w:pPr>
              <w:widowControl/>
              <w:ind w:left="939" w:leftChars="447"/>
              <w:jc w:val="left"/>
              <w:rPr>
                <w:rFonts w:ascii="宋体" w:hAnsi="宋体" w:cs="宋体"/>
                <w:kern w:val="0"/>
                <w:sz w:val="20"/>
                <w:szCs w:val="20"/>
              </w:rPr>
            </w:pPr>
            <w:r>
              <w:rPr>
                <w:rFonts w:hint="eastAsia" w:ascii="宋体" w:hAnsi="宋体" w:cs="宋体"/>
                <w:kern w:val="0"/>
                <w:sz w:val="20"/>
                <w:szCs w:val="20"/>
              </w:rPr>
              <w:t>（1）结算与清算手续费</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6280" w:type="dxa"/>
            <w:shd w:val="clear" w:color="auto" w:fill="auto"/>
            <w:vAlign w:val="center"/>
          </w:tcPr>
          <w:p>
            <w:pPr>
              <w:widowControl/>
              <w:ind w:left="939" w:leftChars="447"/>
              <w:jc w:val="left"/>
              <w:rPr>
                <w:rFonts w:ascii="宋体" w:hAnsi="宋体" w:cs="宋体"/>
                <w:kern w:val="0"/>
                <w:sz w:val="20"/>
                <w:szCs w:val="20"/>
              </w:rPr>
            </w:pPr>
            <w:r>
              <w:rPr>
                <w:rFonts w:hint="eastAsia" w:ascii="宋体" w:hAnsi="宋体" w:cs="宋体"/>
                <w:kern w:val="0"/>
                <w:sz w:val="20"/>
                <w:szCs w:val="20"/>
              </w:rPr>
              <w:t>（2）代理业务手续费</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6280" w:type="dxa"/>
            <w:shd w:val="clear" w:color="auto" w:fill="auto"/>
            <w:vAlign w:val="center"/>
          </w:tcPr>
          <w:p>
            <w:pPr>
              <w:widowControl/>
              <w:ind w:left="939" w:leftChars="447"/>
              <w:jc w:val="left"/>
              <w:rPr>
                <w:rFonts w:ascii="宋体" w:hAnsi="宋体" w:cs="宋体"/>
                <w:kern w:val="0"/>
                <w:sz w:val="20"/>
                <w:szCs w:val="20"/>
              </w:rPr>
            </w:pPr>
            <w:r>
              <w:rPr>
                <w:rFonts w:hint="eastAsia" w:ascii="宋体" w:hAnsi="宋体" w:cs="宋体"/>
                <w:kern w:val="0"/>
                <w:sz w:val="20"/>
                <w:szCs w:val="20"/>
              </w:rPr>
              <w:t>（3）信用承诺手续费及佣金</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6280" w:type="dxa"/>
            <w:shd w:val="clear" w:color="auto" w:fill="auto"/>
            <w:vAlign w:val="center"/>
          </w:tcPr>
          <w:p>
            <w:pPr>
              <w:widowControl/>
              <w:ind w:left="939" w:leftChars="447"/>
              <w:jc w:val="left"/>
              <w:rPr>
                <w:rFonts w:ascii="宋体" w:hAnsi="宋体" w:cs="宋体"/>
                <w:kern w:val="0"/>
                <w:sz w:val="20"/>
                <w:szCs w:val="20"/>
              </w:rPr>
            </w:pPr>
            <w:r>
              <w:rPr>
                <w:rFonts w:hint="eastAsia" w:ascii="宋体" w:hAnsi="宋体" w:cs="宋体"/>
                <w:kern w:val="0"/>
                <w:sz w:val="20"/>
                <w:szCs w:val="20"/>
              </w:rPr>
              <w:t>（4）银行卡手续费</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6280" w:type="dxa"/>
            <w:shd w:val="clear" w:color="auto" w:fill="auto"/>
            <w:vAlign w:val="center"/>
          </w:tcPr>
          <w:p>
            <w:pPr>
              <w:widowControl/>
              <w:ind w:left="939" w:leftChars="447"/>
              <w:jc w:val="left"/>
              <w:rPr>
                <w:rFonts w:ascii="宋体" w:hAnsi="宋体" w:cs="宋体"/>
                <w:kern w:val="0"/>
                <w:sz w:val="20"/>
                <w:szCs w:val="20"/>
              </w:rPr>
            </w:pPr>
            <w:r>
              <w:rPr>
                <w:rFonts w:hint="eastAsia" w:ascii="宋体" w:hAnsi="宋体" w:cs="宋体"/>
                <w:kern w:val="0"/>
                <w:sz w:val="20"/>
                <w:szCs w:val="20"/>
              </w:rPr>
              <w:t>（5）顾问和咨询费</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6280" w:type="dxa"/>
            <w:shd w:val="clear" w:color="auto" w:fill="auto"/>
            <w:vAlign w:val="center"/>
          </w:tcPr>
          <w:p>
            <w:pPr>
              <w:widowControl/>
              <w:ind w:left="939" w:leftChars="447"/>
              <w:jc w:val="left"/>
              <w:rPr>
                <w:rFonts w:ascii="宋体" w:hAnsi="宋体" w:cs="宋体"/>
                <w:kern w:val="0"/>
                <w:sz w:val="20"/>
                <w:szCs w:val="20"/>
              </w:rPr>
            </w:pPr>
            <w:r>
              <w:rPr>
                <w:rFonts w:hint="eastAsia" w:ascii="宋体" w:hAnsi="宋体" w:cs="宋体"/>
                <w:kern w:val="0"/>
                <w:sz w:val="20"/>
                <w:szCs w:val="20"/>
              </w:rPr>
              <w:t>（6）托管及其他受托业务佣金</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6280" w:type="dxa"/>
            <w:shd w:val="clear" w:color="auto" w:fill="auto"/>
            <w:vAlign w:val="center"/>
          </w:tcPr>
          <w:p>
            <w:pPr>
              <w:widowControl/>
              <w:ind w:left="939" w:leftChars="447"/>
              <w:jc w:val="left"/>
              <w:rPr>
                <w:rFonts w:ascii="宋体" w:hAnsi="宋体" w:cs="宋体"/>
                <w:kern w:val="0"/>
                <w:sz w:val="20"/>
                <w:szCs w:val="20"/>
              </w:rPr>
            </w:pPr>
            <w:r>
              <w:rPr>
                <w:rFonts w:hint="eastAsia" w:ascii="宋体" w:hAnsi="宋体" w:cs="宋体"/>
                <w:kern w:val="0"/>
                <w:sz w:val="20"/>
                <w:szCs w:val="20"/>
              </w:rPr>
              <w:t>（7）其他</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6280" w:type="dxa"/>
            <w:shd w:val="clear" w:color="auto" w:fill="auto"/>
            <w:vAlign w:val="center"/>
          </w:tcPr>
          <w:p>
            <w:pPr>
              <w:widowControl/>
              <w:ind w:left="420" w:leftChars="200"/>
              <w:jc w:val="left"/>
              <w:rPr>
                <w:rFonts w:ascii="宋体" w:hAnsi="宋体" w:cs="宋体"/>
                <w:kern w:val="0"/>
                <w:sz w:val="20"/>
                <w:szCs w:val="20"/>
              </w:rPr>
            </w:pPr>
            <w:r>
              <w:rPr>
                <w:rFonts w:hint="eastAsia" w:ascii="宋体" w:hAnsi="宋体" w:cs="宋体"/>
                <w:kern w:val="0"/>
                <w:sz w:val="20"/>
                <w:szCs w:val="20"/>
              </w:rPr>
              <w:t>（二）证券业务收入（19+26）</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6280" w:type="dxa"/>
            <w:shd w:val="clear" w:color="auto" w:fill="auto"/>
            <w:vAlign w:val="center"/>
          </w:tcPr>
          <w:p>
            <w:pPr>
              <w:widowControl/>
              <w:ind w:left="840" w:leftChars="400"/>
              <w:jc w:val="left"/>
              <w:rPr>
                <w:rFonts w:ascii="宋体" w:hAnsi="宋体" w:cs="宋体"/>
                <w:kern w:val="0"/>
                <w:sz w:val="20"/>
                <w:szCs w:val="20"/>
              </w:rPr>
            </w:pPr>
            <w:r>
              <w:rPr>
                <w:rFonts w:hint="eastAsia" w:ascii="宋体" w:hAnsi="宋体" w:cs="宋体"/>
                <w:kern w:val="0"/>
                <w:sz w:val="20"/>
                <w:szCs w:val="20"/>
              </w:rPr>
              <w:t>1.证券业务手续费及佣金收入（20+21+22+23+24+25）</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6280" w:type="dxa"/>
            <w:shd w:val="clear" w:color="auto" w:fill="auto"/>
            <w:vAlign w:val="center"/>
          </w:tcPr>
          <w:p>
            <w:pPr>
              <w:widowControl/>
              <w:ind w:left="939" w:leftChars="447"/>
              <w:jc w:val="left"/>
              <w:rPr>
                <w:rFonts w:ascii="宋体" w:hAnsi="宋体" w:cs="宋体"/>
                <w:kern w:val="0"/>
                <w:sz w:val="20"/>
                <w:szCs w:val="20"/>
              </w:rPr>
            </w:pPr>
            <w:r>
              <w:rPr>
                <w:rFonts w:hint="eastAsia" w:ascii="宋体" w:hAnsi="宋体" w:cs="宋体"/>
                <w:kern w:val="0"/>
                <w:sz w:val="20"/>
                <w:szCs w:val="20"/>
              </w:rPr>
              <w:t>（1）证券承销业务</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6280" w:type="dxa"/>
            <w:shd w:val="clear" w:color="auto" w:fill="auto"/>
            <w:vAlign w:val="center"/>
          </w:tcPr>
          <w:p>
            <w:pPr>
              <w:widowControl/>
              <w:ind w:left="939" w:leftChars="447"/>
              <w:jc w:val="left"/>
              <w:rPr>
                <w:rFonts w:ascii="宋体" w:hAnsi="宋体" w:cs="宋体"/>
                <w:kern w:val="0"/>
                <w:sz w:val="20"/>
                <w:szCs w:val="20"/>
              </w:rPr>
            </w:pPr>
            <w:r>
              <w:rPr>
                <w:rFonts w:hint="eastAsia" w:ascii="宋体" w:hAnsi="宋体" w:cs="宋体"/>
                <w:kern w:val="0"/>
                <w:sz w:val="20"/>
                <w:szCs w:val="20"/>
              </w:rPr>
              <w:t>（2）证券经纪业务</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6280" w:type="dxa"/>
            <w:shd w:val="clear" w:color="auto" w:fill="auto"/>
            <w:vAlign w:val="center"/>
          </w:tcPr>
          <w:p>
            <w:pPr>
              <w:widowControl/>
              <w:ind w:left="939" w:leftChars="447"/>
              <w:jc w:val="left"/>
              <w:rPr>
                <w:rFonts w:ascii="宋体" w:hAnsi="宋体" w:cs="宋体"/>
                <w:kern w:val="0"/>
                <w:sz w:val="20"/>
                <w:szCs w:val="20"/>
              </w:rPr>
            </w:pPr>
            <w:r>
              <w:rPr>
                <w:rFonts w:hint="eastAsia" w:ascii="宋体" w:hAnsi="宋体" w:cs="宋体"/>
                <w:kern w:val="0"/>
                <w:sz w:val="20"/>
                <w:szCs w:val="20"/>
              </w:rPr>
              <w:t>（3）受托客户资产管理业务</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6280" w:type="dxa"/>
            <w:shd w:val="clear" w:color="auto" w:fill="auto"/>
            <w:vAlign w:val="center"/>
          </w:tcPr>
          <w:p>
            <w:pPr>
              <w:widowControl/>
              <w:ind w:left="939" w:leftChars="447"/>
              <w:jc w:val="left"/>
              <w:rPr>
                <w:rFonts w:ascii="宋体" w:hAnsi="宋体" w:cs="宋体"/>
                <w:kern w:val="0"/>
                <w:sz w:val="20"/>
                <w:szCs w:val="20"/>
              </w:rPr>
            </w:pPr>
            <w:r>
              <w:rPr>
                <w:rFonts w:hint="eastAsia" w:ascii="宋体" w:hAnsi="宋体" w:cs="宋体"/>
                <w:kern w:val="0"/>
                <w:sz w:val="20"/>
                <w:szCs w:val="20"/>
              </w:rPr>
              <w:t>（4）代理兑付证券</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6280" w:type="dxa"/>
            <w:shd w:val="clear" w:color="auto" w:fill="auto"/>
            <w:vAlign w:val="center"/>
          </w:tcPr>
          <w:p>
            <w:pPr>
              <w:widowControl/>
              <w:ind w:left="939" w:leftChars="447"/>
              <w:jc w:val="left"/>
              <w:rPr>
                <w:rFonts w:ascii="宋体" w:hAnsi="宋体" w:cs="宋体"/>
                <w:kern w:val="0"/>
                <w:sz w:val="20"/>
                <w:szCs w:val="20"/>
              </w:rPr>
            </w:pPr>
            <w:r>
              <w:rPr>
                <w:rFonts w:hint="eastAsia" w:ascii="宋体" w:hAnsi="宋体" w:cs="宋体"/>
                <w:kern w:val="0"/>
                <w:sz w:val="20"/>
                <w:szCs w:val="20"/>
              </w:rPr>
              <w:t>（5）代理保管证券</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6280" w:type="dxa"/>
            <w:shd w:val="clear" w:color="auto" w:fill="auto"/>
            <w:vAlign w:val="center"/>
          </w:tcPr>
          <w:p>
            <w:pPr>
              <w:widowControl/>
              <w:ind w:left="939" w:leftChars="447"/>
              <w:jc w:val="left"/>
              <w:rPr>
                <w:rFonts w:ascii="宋体" w:hAnsi="宋体" w:cs="宋体"/>
                <w:kern w:val="0"/>
                <w:sz w:val="20"/>
                <w:szCs w:val="20"/>
              </w:rPr>
            </w:pPr>
            <w:r>
              <w:rPr>
                <w:rFonts w:hint="eastAsia" w:ascii="宋体" w:hAnsi="宋体" w:cs="宋体"/>
                <w:kern w:val="0"/>
                <w:sz w:val="20"/>
                <w:szCs w:val="20"/>
              </w:rPr>
              <w:t>（6）其他</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6280" w:type="dxa"/>
            <w:shd w:val="clear" w:color="auto" w:fill="auto"/>
            <w:vAlign w:val="center"/>
          </w:tcPr>
          <w:p>
            <w:pPr>
              <w:widowControl/>
              <w:ind w:left="840" w:leftChars="400"/>
              <w:jc w:val="left"/>
              <w:rPr>
                <w:rFonts w:ascii="宋体" w:hAnsi="宋体" w:cs="宋体"/>
                <w:kern w:val="0"/>
                <w:sz w:val="20"/>
                <w:szCs w:val="20"/>
              </w:rPr>
            </w:pPr>
            <w:r>
              <w:rPr>
                <w:rFonts w:hint="eastAsia" w:ascii="宋体" w:hAnsi="宋体" w:cs="宋体"/>
                <w:kern w:val="0"/>
                <w:sz w:val="20"/>
                <w:szCs w:val="20"/>
              </w:rPr>
              <w:t>2.其他证券业务收入</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6280" w:type="dxa"/>
            <w:shd w:val="clear" w:color="auto" w:fill="auto"/>
            <w:vAlign w:val="center"/>
          </w:tcPr>
          <w:p>
            <w:pPr>
              <w:widowControl/>
              <w:ind w:left="420" w:leftChars="200"/>
              <w:jc w:val="left"/>
              <w:rPr>
                <w:rFonts w:ascii="宋体" w:hAnsi="宋体" w:cs="宋体"/>
                <w:kern w:val="0"/>
                <w:sz w:val="20"/>
                <w:szCs w:val="20"/>
              </w:rPr>
            </w:pPr>
            <w:r>
              <w:rPr>
                <w:rFonts w:hint="eastAsia" w:ascii="宋体" w:hAnsi="宋体" w:cs="宋体"/>
                <w:kern w:val="0"/>
                <w:sz w:val="20"/>
                <w:szCs w:val="20"/>
              </w:rPr>
              <w:t>（三）已赚保费（28-30-31）</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6280" w:type="dxa"/>
            <w:shd w:val="clear" w:color="auto" w:fill="auto"/>
            <w:vAlign w:val="center"/>
          </w:tcPr>
          <w:p>
            <w:pPr>
              <w:widowControl/>
              <w:ind w:left="840" w:leftChars="400"/>
              <w:jc w:val="left"/>
              <w:rPr>
                <w:rFonts w:ascii="宋体" w:hAnsi="宋体" w:cs="宋体"/>
                <w:kern w:val="0"/>
                <w:sz w:val="20"/>
                <w:szCs w:val="20"/>
              </w:rPr>
            </w:pPr>
            <w:r>
              <w:rPr>
                <w:rFonts w:hint="eastAsia" w:ascii="宋体" w:hAnsi="宋体" w:cs="宋体"/>
                <w:kern w:val="0"/>
                <w:sz w:val="20"/>
                <w:szCs w:val="20"/>
              </w:rPr>
              <w:t>1.保险业务收入</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6280" w:type="dxa"/>
            <w:shd w:val="clear" w:color="auto" w:fill="auto"/>
            <w:vAlign w:val="center"/>
          </w:tcPr>
          <w:p>
            <w:pPr>
              <w:widowControl/>
              <w:ind w:firstLine="1060" w:firstLineChars="530"/>
              <w:jc w:val="left"/>
              <w:rPr>
                <w:rFonts w:ascii="宋体" w:hAnsi="宋体" w:cs="宋体"/>
                <w:kern w:val="0"/>
                <w:sz w:val="20"/>
                <w:szCs w:val="20"/>
              </w:rPr>
            </w:pPr>
            <w:r>
              <w:rPr>
                <w:rFonts w:hint="eastAsia" w:ascii="宋体" w:hAnsi="宋体" w:cs="宋体"/>
                <w:kern w:val="0"/>
                <w:sz w:val="20"/>
                <w:szCs w:val="20"/>
              </w:rPr>
              <w:t>其中：分保费收入</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6280" w:type="dxa"/>
            <w:shd w:val="clear" w:color="auto" w:fill="auto"/>
            <w:vAlign w:val="center"/>
          </w:tcPr>
          <w:p>
            <w:pPr>
              <w:widowControl/>
              <w:ind w:left="840" w:leftChars="400"/>
              <w:jc w:val="left"/>
              <w:rPr>
                <w:rFonts w:ascii="宋体" w:hAnsi="宋体" w:cs="宋体"/>
                <w:kern w:val="0"/>
                <w:sz w:val="20"/>
                <w:szCs w:val="20"/>
              </w:rPr>
            </w:pPr>
            <w:r>
              <w:rPr>
                <w:rFonts w:hint="eastAsia" w:ascii="宋体" w:hAnsi="宋体" w:cs="宋体"/>
                <w:kern w:val="0"/>
                <w:sz w:val="20"/>
                <w:szCs w:val="20"/>
              </w:rPr>
              <w:t>2.分出保费</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6280" w:type="dxa"/>
            <w:shd w:val="clear" w:color="auto" w:fill="auto"/>
            <w:vAlign w:val="center"/>
          </w:tcPr>
          <w:p>
            <w:pPr>
              <w:widowControl/>
              <w:ind w:left="840" w:leftChars="400"/>
              <w:jc w:val="left"/>
              <w:rPr>
                <w:rFonts w:ascii="宋体" w:hAnsi="宋体" w:cs="宋体"/>
                <w:kern w:val="0"/>
                <w:sz w:val="20"/>
                <w:szCs w:val="20"/>
              </w:rPr>
            </w:pPr>
            <w:r>
              <w:rPr>
                <w:rFonts w:hint="eastAsia" w:ascii="宋体" w:hAnsi="宋体" w:cs="宋体"/>
                <w:kern w:val="0"/>
                <w:sz w:val="20"/>
                <w:szCs w:val="20"/>
              </w:rPr>
              <w:t>3.提取未到期责任准备金</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6280" w:type="dxa"/>
            <w:shd w:val="clear" w:color="auto" w:fill="auto"/>
            <w:vAlign w:val="center"/>
          </w:tcPr>
          <w:p>
            <w:pPr>
              <w:widowControl/>
              <w:ind w:left="420" w:leftChars="200"/>
              <w:jc w:val="left"/>
              <w:rPr>
                <w:rFonts w:ascii="宋体" w:hAnsi="宋体" w:cs="宋体"/>
                <w:kern w:val="0"/>
                <w:sz w:val="20"/>
                <w:szCs w:val="20"/>
              </w:rPr>
            </w:pPr>
            <w:r>
              <w:rPr>
                <w:rFonts w:hint="eastAsia" w:ascii="宋体" w:hAnsi="宋体" w:cs="宋体"/>
                <w:kern w:val="0"/>
                <w:sz w:val="20"/>
                <w:szCs w:val="20"/>
              </w:rPr>
              <w:t>（四）其他金融业务收入</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6280" w:type="dxa"/>
            <w:shd w:val="clear" w:color="auto" w:fill="auto"/>
            <w:vAlign w:val="center"/>
          </w:tcPr>
          <w:p>
            <w:pPr>
              <w:widowControl/>
              <w:ind w:left="420" w:leftChars="200"/>
              <w:jc w:val="left"/>
              <w:rPr>
                <w:rFonts w:ascii="宋体" w:hAnsi="宋体" w:cs="宋体"/>
                <w:kern w:val="0"/>
                <w:sz w:val="20"/>
                <w:szCs w:val="20"/>
              </w:rPr>
            </w:pPr>
            <w:r>
              <w:rPr>
                <w:rFonts w:hint="eastAsia" w:ascii="宋体" w:hAnsi="宋体" w:cs="宋体"/>
                <w:kern w:val="0"/>
                <w:sz w:val="20"/>
                <w:szCs w:val="20"/>
              </w:rPr>
              <w:t>（五）汇兑收益（损失以“-”号填列）</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6280" w:type="dxa"/>
            <w:shd w:val="clear" w:color="auto" w:fill="auto"/>
            <w:vAlign w:val="center"/>
          </w:tcPr>
          <w:p>
            <w:pPr>
              <w:widowControl/>
              <w:ind w:left="420" w:leftChars="200"/>
              <w:jc w:val="left"/>
              <w:rPr>
                <w:rFonts w:ascii="宋体" w:hAnsi="宋体" w:cs="宋体"/>
                <w:kern w:val="0"/>
                <w:sz w:val="20"/>
                <w:szCs w:val="20"/>
              </w:rPr>
            </w:pPr>
            <w:r>
              <w:rPr>
                <w:rFonts w:hint="eastAsia" w:ascii="宋体" w:hAnsi="宋体" w:cs="宋体"/>
                <w:kern w:val="0"/>
                <w:sz w:val="20"/>
                <w:szCs w:val="20"/>
              </w:rPr>
              <w:t>（六）其他业务收入</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62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二、营业外收入（36+37+38+39+40+41+42）</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6280" w:type="dxa"/>
            <w:shd w:val="clear" w:color="auto" w:fill="auto"/>
            <w:vAlign w:val="center"/>
          </w:tcPr>
          <w:p>
            <w:pPr>
              <w:widowControl/>
              <w:ind w:left="420" w:leftChars="200"/>
              <w:jc w:val="left"/>
              <w:rPr>
                <w:rFonts w:ascii="宋体" w:hAnsi="宋体" w:cs="宋体"/>
                <w:kern w:val="0"/>
                <w:sz w:val="20"/>
                <w:szCs w:val="20"/>
              </w:rPr>
            </w:pPr>
            <w:r>
              <w:rPr>
                <w:rFonts w:hint="eastAsia" w:ascii="宋体" w:hAnsi="宋体" w:cs="宋体"/>
                <w:kern w:val="0"/>
                <w:sz w:val="20"/>
                <w:szCs w:val="20"/>
              </w:rPr>
              <w:t>（一）非流动资产处置利得</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6280" w:type="dxa"/>
            <w:shd w:val="clear" w:color="auto" w:fill="auto"/>
            <w:vAlign w:val="center"/>
          </w:tcPr>
          <w:p>
            <w:pPr>
              <w:widowControl/>
              <w:ind w:left="420" w:leftChars="200"/>
              <w:jc w:val="left"/>
              <w:rPr>
                <w:rFonts w:ascii="宋体" w:hAnsi="宋体" w:cs="宋体"/>
                <w:kern w:val="0"/>
                <w:sz w:val="20"/>
                <w:szCs w:val="20"/>
              </w:rPr>
            </w:pPr>
            <w:r>
              <w:rPr>
                <w:rFonts w:hint="eastAsia" w:ascii="宋体" w:hAnsi="宋体" w:cs="宋体"/>
                <w:kern w:val="0"/>
                <w:sz w:val="20"/>
                <w:szCs w:val="20"/>
              </w:rPr>
              <w:t>（二）非货币性资产交换利得</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6280" w:type="dxa"/>
            <w:shd w:val="clear" w:color="auto" w:fill="auto"/>
            <w:vAlign w:val="center"/>
          </w:tcPr>
          <w:p>
            <w:pPr>
              <w:widowControl/>
              <w:ind w:left="420" w:leftChars="200"/>
              <w:jc w:val="left"/>
              <w:rPr>
                <w:rFonts w:ascii="宋体" w:hAnsi="宋体" w:cs="宋体"/>
                <w:kern w:val="0"/>
                <w:sz w:val="20"/>
                <w:szCs w:val="20"/>
              </w:rPr>
            </w:pPr>
            <w:r>
              <w:rPr>
                <w:rFonts w:hint="eastAsia" w:ascii="宋体" w:hAnsi="宋体" w:cs="宋体"/>
                <w:kern w:val="0"/>
                <w:sz w:val="20"/>
                <w:szCs w:val="20"/>
              </w:rPr>
              <w:t>（三）债务重组利得</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6280" w:type="dxa"/>
            <w:shd w:val="clear" w:color="auto" w:fill="auto"/>
            <w:vAlign w:val="center"/>
          </w:tcPr>
          <w:p>
            <w:pPr>
              <w:widowControl/>
              <w:ind w:left="420" w:leftChars="200"/>
              <w:jc w:val="left"/>
              <w:rPr>
                <w:rFonts w:ascii="宋体" w:hAnsi="宋体" w:cs="宋体"/>
                <w:kern w:val="0"/>
                <w:sz w:val="20"/>
                <w:szCs w:val="20"/>
              </w:rPr>
            </w:pPr>
            <w:r>
              <w:rPr>
                <w:rFonts w:hint="eastAsia" w:ascii="宋体" w:hAnsi="宋体" w:cs="宋体"/>
                <w:kern w:val="0"/>
                <w:sz w:val="20"/>
                <w:szCs w:val="20"/>
              </w:rPr>
              <w:t>（四）政府补助利得</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6280" w:type="dxa"/>
            <w:shd w:val="clear" w:color="auto" w:fill="auto"/>
            <w:vAlign w:val="center"/>
          </w:tcPr>
          <w:p>
            <w:pPr>
              <w:widowControl/>
              <w:ind w:left="420" w:leftChars="200"/>
              <w:jc w:val="left"/>
              <w:rPr>
                <w:rFonts w:ascii="宋体" w:hAnsi="宋体" w:cs="宋体"/>
                <w:kern w:val="0"/>
                <w:sz w:val="20"/>
                <w:szCs w:val="20"/>
              </w:rPr>
            </w:pPr>
            <w:r>
              <w:rPr>
                <w:rFonts w:hint="eastAsia" w:ascii="宋体" w:hAnsi="宋体" w:cs="宋体"/>
                <w:kern w:val="0"/>
                <w:sz w:val="20"/>
                <w:szCs w:val="20"/>
              </w:rPr>
              <w:t>（五）盘盈利得</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6280" w:type="dxa"/>
            <w:shd w:val="clear" w:color="auto" w:fill="auto"/>
            <w:vAlign w:val="center"/>
          </w:tcPr>
          <w:p>
            <w:pPr>
              <w:widowControl/>
              <w:ind w:left="420" w:leftChars="200"/>
              <w:jc w:val="left"/>
              <w:rPr>
                <w:rFonts w:ascii="宋体" w:hAnsi="宋体" w:cs="宋体"/>
                <w:kern w:val="0"/>
                <w:sz w:val="20"/>
                <w:szCs w:val="20"/>
              </w:rPr>
            </w:pPr>
            <w:r>
              <w:rPr>
                <w:rFonts w:hint="eastAsia" w:ascii="宋体" w:hAnsi="宋体" w:cs="宋体"/>
                <w:kern w:val="0"/>
                <w:sz w:val="20"/>
                <w:szCs w:val="20"/>
              </w:rPr>
              <w:t>（六）捐赠利得</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6280" w:type="dxa"/>
            <w:shd w:val="clear" w:color="auto" w:fill="auto"/>
            <w:vAlign w:val="center"/>
          </w:tcPr>
          <w:p>
            <w:pPr>
              <w:widowControl/>
              <w:ind w:left="420" w:leftChars="200"/>
              <w:jc w:val="left"/>
              <w:rPr>
                <w:rFonts w:ascii="宋体" w:hAnsi="宋体" w:cs="宋体"/>
                <w:kern w:val="0"/>
                <w:sz w:val="20"/>
                <w:szCs w:val="20"/>
              </w:rPr>
            </w:pPr>
            <w:r>
              <w:rPr>
                <w:rFonts w:hint="eastAsia" w:ascii="宋体" w:hAnsi="宋体" w:cs="宋体"/>
                <w:kern w:val="0"/>
                <w:sz w:val="20"/>
                <w:szCs w:val="20"/>
              </w:rPr>
              <w:t>（七）其他</w:t>
            </w:r>
          </w:p>
        </w:tc>
        <w:tc>
          <w:tcPr>
            <w:tcW w:w="23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bl>
    <w:p>
      <w:pPr>
        <w:tabs>
          <w:tab w:val="left" w:pos="1755"/>
        </w:tabs>
        <w:sectPr>
          <w:footerReference r:id="rId8" w:type="first"/>
          <w:pgSz w:w="11906" w:h="16838"/>
          <w:pgMar w:top="1758" w:right="1418" w:bottom="1588" w:left="1418" w:header="851" w:footer="992" w:gutter="113"/>
          <w:cols w:space="425" w:num="1"/>
          <w:titlePg/>
          <w:docGrid w:linePitch="312" w:charSpace="0"/>
        </w:sectPr>
      </w:pPr>
    </w:p>
    <w:p>
      <w:pPr>
        <w:pStyle w:val="8"/>
        <w:spacing w:before="240" w:after="360"/>
        <w:rPr>
          <w:color w:val="000000"/>
        </w:rPr>
      </w:pPr>
      <w:bookmarkStart w:id="28" w:name="_Toc499456560"/>
      <w:r>
        <w:rPr>
          <w:rFonts w:hint="eastAsia"/>
          <w:color w:val="000000"/>
        </w:rPr>
        <w:t>A101020</w:t>
      </w:r>
      <w:r>
        <w:rPr>
          <w:color w:val="000000"/>
        </w:rPr>
        <w:tab/>
      </w:r>
      <w:r>
        <w:rPr>
          <w:rFonts w:hint="eastAsia"/>
          <w:color w:val="000000"/>
        </w:rPr>
        <w:t>《金融企业收入明细表》填报说明</w:t>
      </w:r>
      <w:bookmarkEnd w:id="28"/>
    </w:p>
    <w:p>
      <w:pPr>
        <w:pStyle w:val="9"/>
        <w:rPr>
          <w:color w:val="000000"/>
        </w:rPr>
      </w:pPr>
      <w:r>
        <w:rPr>
          <w:rFonts w:hint="eastAsia"/>
          <w:color w:val="000000"/>
        </w:rPr>
        <w:t>本表适用于执行企业会计准则的金融企业纳税人填报，包括银行（</w:t>
      </w:r>
      <w:r>
        <w:rPr>
          <w:rFonts w:hint="eastAsia"/>
        </w:rPr>
        <w:t>信用社</w:t>
      </w:r>
      <w:r>
        <w:rPr>
          <w:rFonts w:hint="eastAsia"/>
          <w:color w:val="000000"/>
        </w:rPr>
        <w:t>）</w:t>
      </w:r>
      <w:r>
        <w:rPr>
          <w:rFonts w:hint="eastAsia"/>
        </w:rPr>
        <w:t>、</w:t>
      </w:r>
      <w:r>
        <w:rPr>
          <w:rFonts w:hint="eastAsia"/>
          <w:color w:val="000000"/>
        </w:rPr>
        <w:t>保险公司、证券公司等金融企业。金融企业应根据企业会计准则的规定填报“营业收入”“营业外收入”。</w:t>
      </w:r>
    </w:p>
    <w:p>
      <w:pPr>
        <w:pStyle w:val="11"/>
        <w:ind w:firstLine="482"/>
      </w:pPr>
      <w:r>
        <w:rPr>
          <w:rFonts w:hint="eastAsia"/>
        </w:rPr>
        <w:t>一、有关项目填报说明</w:t>
      </w:r>
    </w:p>
    <w:p>
      <w:pPr>
        <w:pStyle w:val="9"/>
        <w:rPr>
          <w:color w:val="000000"/>
        </w:rPr>
      </w:pPr>
      <w:r>
        <w:rPr>
          <w:rFonts w:hint="eastAsia"/>
          <w:color w:val="000000"/>
        </w:rPr>
        <w:t>1.第1行“营业收入”：填报纳税人提供金融商品服务取得的收入。</w:t>
      </w:r>
    </w:p>
    <w:p>
      <w:pPr>
        <w:pStyle w:val="9"/>
        <w:rPr>
          <w:color w:val="000000"/>
        </w:rPr>
      </w:pPr>
      <w:r>
        <w:rPr>
          <w:rFonts w:hint="eastAsia"/>
          <w:color w:val="000000"/>
        </w:rPr>
        <w:t>2.第2行“银行业务收入”：填报纳税人从事银行业务取得的收入。</w:t>
      </w:r>
    </w:p>
    <w:p>
      <w:pPr>
        <w:pStyle w:val="9"/>
        <w:rPr>
          <w:color w:val="000000"/>
        </w:rPr>
      </w:pPr>
      <w:r>
        <w:rPr>
          <w:rFonts w:hint="eastAsia"/>
          <w:color w:val="000000"/>
        </w:rPr>
        <w:t>3.第3行“利息收入”：填报银行存贷款业务等取得的各项利息收入，包括发放的各类贷款（银团贷款、贸易融资、贴现和转贴现融出资金、协议透支、信用卡透支、转贷款、垫款等）、与其他金融机构（中央银行、同业等）之间发生资金往来业务、买入返售金融资产等实现的利息收入等。</w:t>
      </w:r>
    </w:p>
    <w:p>
      <w:pPr>
        <w:pStyle w:val="9"/>
        <w:rPr>
          <w:color w:val="000000"/>
        </w:rPr>
      </w:pPr>
      <w:r>
        <w:rPr>
          <w:rFonts w:hint="eastAsia"/>
          <w:color w:val="000000"/>
        </w:rPr>
        <w:t>4.第4行“存放同业”：填报纳税人存放于境内、境外银行和非银行金融机构款项取得的利息收入。</w:t>
      </w:r>
    </w:p>
    <w:p>
      <w:pPr>
        <w:pStyle w:val="9"/>
        <w:rPr>
          <w:color w:val="000000"/>
        </w:rPr>
      </w:pPr>
      <w:r>
        <w:rPr>
          <w:rFonts w:hint="eastAsia"/>
          <w:color w:val="000000"/>
        </w:rPr>
        <w:t>5.第5行“存放中央银行”：填报纳税人存放于中国人民银行的各种款项利息收入。</w:t>
      </w:r>
    </w:p>
    <w:p>
      <w:pPr>
        <w:pStyle w:val="9"/>
        <w:rPr>
          <w:color w:val="000000"/>
        </w:rPr>
      </w:pPr>
      <w:r>
        <w:rPr>
          <w:rFonts w:hint="eastAsia"/>
          <w:color w:val="000000"/>
        </w:rPr>
        <w:t>6.第6行“拆出资金”：填报纳税人拆借给境内、境外其他金融机构款项的利息收入。</w:t>
      </w:r>
    </w:p>
    <w:p>
      <w:pPr>
        <w:pStyle w:val="9"/>
        <w:rPr>
          <w:color w:val="000000"/>
        </w:rPr>
      </w:pPr>
      <w:r>
        <w:rPr>
          <w:rFonts w:hint="eastAsia"/>
          <w:color w:val="000000"/>
        </w:rPr>
        <w:t>7.第7行“发放贷款及垫资”：填报纳税人发放贷款及垫资的利息收入。</w:t>
      </w:r>
    </w:p>
    <w:p>
      <w:pPr>
        <w:pStyle w:val="9"/>
        <w:rPr>
          <w:color w:val="000000"/>
        </w:rPr>
      </w:pPr>
      <w:r>
        <w:rPr>
          <w:rFonts w:hint="eastAsia"/>
          <w:color w:val="000000"/>
        </w:rPr>
        <w:t>8.第8行“买入返售金融资产”：填报纳税人按照返售协议约定先买入再按固定价格返售的票据、证券、贷款等金融资产所融出资金的利息收入。</w:t>
      </w:r>
    </w:p>
    <w:p>
      <w:pPr>
        <w:pStyle w:val="9"/>
        <w:rPr>
          <w:color w:val="000000"/>
        </w:rPr>
      </w:pPr>
      <w:r>
        <w:rPr>
          <w:rFonts w:hint="eastAsia"/>
          <w:color w:val="000000"/>
        </w:rPr>
        <w:t>9.第9行“其他”：填报纳税人除本表第4行至第8行以外的其他利息收入，包括债券投资利息等收入。</w:t>
      </w:r>
    </w:p>
    <w:p>
      <w:pPr>
        <w:pStyle w:val="9"/>
        <w:rPr>
          <w:color w:val="000000"/>
        </w:rPr>
      </w:pPr>
      <w:r>
        <w:rPr>
          <w:rFonts w:hint="eastAsia"/>
          <w:color w:val="000000"/>
        </w:rPr>
        <w:t>10.第10行“手续费及佣金收入”：填报银行在提供相关金融业务服务时向客户收取的收入，包括结算与清算手续费、代理业务手续费、信用承诺手续费及佣金、银行卡手续费、顾问和咨询费、托管及其他受托业务佣金等。</w:t>
      </w:r>
    </w:p>
    <w:p>
      <w:pPr>
        <w:pStyle w:val="9"/>
        <w:rPr>
          <w:color w:val="000000"/>
        </w:rPr>
      </w:pPr>
      <w:r>
        <w:rPr>
          <w:rFonts w:hint="eastAsia"/>
          <w:color w:val="000000"/>
        </w:rPr>
        <w:t>11.第18行“证券业务收入”：填报纳税人从事证券业务取得的收入。</w:t>
      </w:r>
    </w:p>
    <w:p>
      <w:pPr>
        <w:pStyle w:val="9"/>
        <w:rPr>
          <w:color w:val="000000"/>
        </w:rPr>
      </w:pPr>
      <w:r>
        <w:rPr>
          <w:rFonts w:hint="eastAsia"/>
          <w:color w:val="000000"/>
        </w:rPr>
        <w:t>12.第19行“证券业务手续费及佣金收入”：填报纳税人承销、代理兑付等业务取得的各项手续费、佣金等收入。</w:t>
      </w:r>
    </w:p>
    <w:p>
      <w:pPr>
        <w:pStyle w:val="9"/>
        <w:rPr>
          <w:color w:val="000000"/>
        </w:rPr>
      </w:pPr>
      <w:r>
        <w:rPr>
          <w:rFonts w:hint="eastAsia"/>
          <w:color w:val="000000"/>
        </w:rPr>
        <w:t>13.第26行“其他证券业务收入”：填报纳税人在国家许可的范围内从事的除经纪、自营和承销业务以外的与证券有关的业务收入。</w:t>
      </w:r>
    </w:p>
    <w:p>
      <w:pPr>
        <w:pStyle w:val="9"/>
        <w:rPr>
          <w:color w:val="000000"/>
        </w:rPr>
      </w:pPr>
      <w:r>
        <w:rPr>
          <w:rFonts w:hint="eastAsia"/>
          <w:color w:val="000000"/>
        </w:rPr>
        <w:t>14.第27行“已赚保费”：填报纳税人从事保险业务确认的本年实际保费收入。</w:t>
      </w:r>
    </w:p>
    <w:p>
      <w:pPr>
        <w:pStyle w:val="9"/>
        <w:rPr>
          <w:color w:val="000000"/>
        </w:rPr>
      </w:pPr>
      <w:r>
        <w:rPr>
          <w:rFonts w:hint="eastAsia"/>
          <w:color w:val="000000"/>
        </w:rPr>
        <w:t>15.第28行“保险业务收入”：填报纳税人从事保险业务确认的保费收入。</w:t>
      </w:r>
    </w:p>
    <w:p>
      <w:pPr>
        <w:pStyle w:val="9"/>
        <w:rPr>
          <w:color w:val="000000"/>
        </w:rPr>
      </w:pPr>
      <w:r>
        <w:rPr>
          <w:rFonts w:hint="eastAsia"/>
          <w:color w:val="000000"/>
        </w:rPr>
        <w:t>16.第29行“分保费收入”：填报纳税人（再保险公司或分入公司）从原保险公司或分出公司分入的保费收入。</w:t>
      </w:r>
    </w:p>
    <w:p>
      <w:pPr>
        <w:pStyle w:val="9"/>
        <w:rPr>
          <w:color w:val="000000"/>
        </w:rPr>
      </w:pPr>
      <w:r>
        <w:rPr>
          <w:rFonts w:hint="eastAsia"/>
          <w:color w:val="000000"/>
        </w:rPr>
        <w:t>17.第30行“分出保费”：填报纳税人（再保险分出人）向再保险接受人分出的保费。</w:t>
      </w:r>
    </w:p>
    <w:p>
      <w:pPr>
        <w:pStyle w:val="9"/>
        <w:rPr>
          <w:color w:val="000000"/>
        </w:rPr>
      </w:pPr>
      <w:r>
        <w:rPr>
          <w:rFonts w:hint="eastAsia"/>
          <w:color w:val="000000"/>
        </w:rPr>
        <w:t>18.第31行“提取未到期责任准备金”：填报纳税人（保险企业）提取的非寿险原保险合同未到期责任准备金和再保险合同分保未到期责任准备金。</w:t>
      </w:r>
    </w:p>
    <w:p>
      <w:pPr>
        <w:pStyle w:val="9"/>
        <w:rPr>
          <w:color w:val="000000"/>
        </w:rPr>
      </w:pPr>
      <w:r>
        <w:rPr>
          <w:rFonts w:hint="eastAsia"/>
          <w:color w:val="000000"/>
        </w:rPr>
        <w:t>19.第32行“其他金融业务收入”：填报纳税人提供除银行业、保险业、证券业以外的金融商品服务取得的收入。</w:t>
      </w:r>
    </w:p>
    <w:p>
      <w:pPr>
        <w:pStyle w:val="9"/>
        <w:rPr>
          <w:color w:val="000000"/>
        </w:rPr>
      </w:pPr>
      <w:r>
        <w:rPr>
          <w:rFonts w:hint="eastAsia"/>
          <w:color w:val="000000"/>
        </w:rPr>
        <w:t>20.第33行“汇兑收益”：填报纳税人发生的外币交易因汇率变动而产生的汇兑损益，</w:t>
      </w:r>
      <w:r>
        <w:rPr>
          <w:rFonts w:hint="eastAsia" w:cs="Arial"/>
        </w:rPr>
        <w:t>损失以“-”号填列</w:t>
      </w:r>
      <w:r>
        <w:rPr>
          <w:rFonts w:hint="eastAsia"/>
          <w:color w:val="000000"/>
        </w:rPr>
        <w:t>。</w:t>
      </w:r>
    </w:p>
    <w:p>
      <w:pPr>
        <w:pStyle w:val="9"/>
        <w:rPr>
          <w:color w:val="000000"/>
        </w:rPr>
      </w:pPr>
      <w:r>
        <w:rPr>
          <w:rFonts w:hint="eastAsia"/>
          <w:color w:val="000000"/>
        </w:rPr>
        <w:t>21.第34行“其他业务收入”：填报纳税人发生的除主营业务活动以外的其他经营活动实现的收入。</w:t>
      </w:r>
    </w:p>
    <w:p>
      <w:pPr>
        <w:pStyle w:val="9"/>
        <w:rPr>
          <w:color w:val="000000"/>
        </w:rPr>
      </w:pPr>
      <w:r>
        <w:rPr>
          <w:rFonts w:hint="eastAsia"/>
          <w:color w:val="000000"/>
        </w:rPr>
        <w:t>22.第35行“营业外收入”：填报纳税人发生的各项营业外收入，主要包括非流动资产处置利得、非货币性资产交换利得、债务重组利得、政府补助利得、盘盈利得、捐赠利得等。</w:t>
      </w:r>
    </w:p>
    <w:p>
      <w:pPr>
        <w:pStyle w:val="9"/>
        <w:rPr>
          <w:color w:val="000000"/>
        </w:rPr>
      </w:pPr>
      <w:r>
        <w:rPr>
          <w:rFonts w:hint="eastAsia"/>
          <w:color w:val="000000"/>
        </w:rPr>
        <w:t>23.第36行“非流动资产处置利得”：填报纳税人处置固定资产、无形资产等取得的净收益。</w:t>
      </w:r>
    </w:p>
    <w:p>
      <w:pPr>
        <w:pStyle w:val="9"/>
        <w:rPr>
          <w:color w:val="000000"/>
        </w:rPr>
      </w:pPr>
      <w:r>
        <w:rPr>
          <w:rFonts w:hint="eastAsia"/>
          <w:color w:val="000000"/>
        </w:rPr>
        <w:t>24.第37行“非货币资产交换利得”：填报纳税人发生非货币性资产交换应确认的净收益。</w:t>
      </w:r>
    </w:p>
    <w:p>
      <w:pPr>
        <w:pStyle w:val="9"/>
        <w:rPr>
          <w:color w:val="000000"/>
        </w:rPr>
      </w:pPr>
      <w:r>
        <w:rPr>
          <w:rFonts w:hint="eastAsia"/>
          <w:color w:val="000000"/>
        </w:rPr>
        <w:t>25.第38行“债务重组利得”：填报纳税人发生的债务重组业务确认的净收益。</w:t>
      </w:r>
    </w:p>
    <w:p>
      <w:pPr>
        <w:pStyle w:val="9"/>
        <w:rPr>
          <w:color w:val="000000"/>
        </w:rPr>
      </w:pPr>
      <w:r>
        <w:rPr>
          <w:rFonts w:hint="eastAsia"/>
          <w:color w:val="000000"/>
        </w:rPr>
        <w:t>26.第39行“政府补助利得”：填报纳税人从政府无偿取得货币性资产或非货币性资产应确认的净收益。</w:t>
      </w:r>
    </w:p>
    <w:p>
      <w:pPr>
        <w:pStyle w:val="9"/>
        <w:rPr>
          <w:color w:val="000000"/>
        </w:rPr>
      </w:pPr>
      <w:r>
        <w:rPr>
          <w:rFonts w:hint="eastAsia"/>
          <w:color w:val="000000"/>
        </w:rPr>
        <w:t>27.第40行“盘盈利得”：填报纳税人在清查财产过程中查明的各种财产盘盈应确认的净收益。</w:t>
      </w:r>
    </w:p>
    <w:p>
      <w:pPr>
        <w:pStyle w:val="9"/>
        <w:rPr>
          <w:color w:val="000000"/>
        </w:rPr>
      </w:pPr>
      <w:r>
        <w:rPr>
          <w:rFonts w:hint="eastAsia"/>
          <w:color w:val="000000"/>
        </w:rPr>
        <w:t>28.第41行“捐赠利得”：填报纳税人接受的来自企业、组织或个人无偿给予的货币性资产、非货币性资产捐赠应确认的净收益。</w:t>
      </w:r>
    </w:p>
    <w:p>
      <w:pPr>
        <w:pStyle w:val="9"/>
        <w:rPr>
          <w:color w:val="000000"/>
        </w:rPr>
      </w:pPr>
      <w:r>
        <w:rPr>
          <w:rFonts w:hint="eastAsia"/>
          <w:color w:val="000000"/>
        </w:rPr>
        <w:t>29.第42行“其他”：填报纳税人取得的上述项目未列举的其他营业外收入，包括执行《企业会计准则》纳税人对按权益法核算的长期股权投资初始投资成本调整确认的收益。</w:t>
      </w:r>
    </w:p>
    <w:p>
      <w:pPr>
        <w:pStyle w:val="11"/>
        <w:ind w:firstLine="482"/>
      </w:pPr>
      <w:r>
        <w:rPr>
          <w:rFonts w:hint="eastAsia"/>
        </w:rPr>
        <w:t>二、表内、表间关系</w:t>
      </w:r>
    </w:p>
    <w:p>
      <w:pPr>
        <w:pStyle w:val="12"/>
      </w:pPr>
      <w:r>
        <w:rPr>
          <w:rFonts w:hint="eastAsia"/>
        </w:rPr>
        <w:t>（一）表内关系</w:t>
      </w:r>
    </w:p>
    <w:p>
      <w:pPr>
        <w:pStyle w:val="9"/>
        <w:rPr>
          <w:color w:val="000000"/>
        </w:rPr>
      </w:pPr>
      <w:r>
        <w:rPr>
          <w:rFonts w:hint="eastAsia"/>
          <w:color w:val="000000"/>
        </w:rPr>
        <w:t>1.第1行＝第2+18+27+32+33+34行。</w:t>
      </w:r>
    </w:p>
    <w:p>
      <w:pPr>
        <w:pStyle w:val="9"/>
        <w:rPr>
          <w:color w:val="000000"/>
        </w:rPr>
      </w:pPr>
      <w:r>
        <w:rPr>
          <w:rFonts w:hint="eastAsia"/>
          <w:color w:val="000000"/>
        </w:rPr>
        <w:t>2.第2行＝第3+10行。</w:t>
      </w:r>
    </w:p>
    <w:p>
      <w:pPr>
        <w:pStyle w:val="9"/>
        <w:rPr>
          <w:color w:val="000000"/>
        </w:rPr>
      </w:pPr>
      <w:r>
        <w:rPr>
          <w:rFonts w:hint="eastAsia"/>
          <w:color w:val="000000"/>
        </w:rPr>
        <w:t>3.第3行＝第4+5+</w:t>
      </w:r>
      <w:r>
        <w:rPr>
          <w:color w:val="000000"/>
        </w:rPr>
        <w:t>…</w:t>
      </w:r>
      <w:r>
        <w:rPr>
          <w:rFonts w:hint="eastAsia"/>
          <w:color w:val="000000"/>
        </w:rPr>
        <w:t>+9行。</w:t>
      </w:r>
    </w:p>
    <w:p>
      <w:pPr>
        <w:pStyle w:val="9"/>
        <w:rPr>
          <w:color w:val="000000"/>
        </w:rPr>
      </w:pPr>
      <w:r>
        <w:rPr>
          <w:rFonts w:hint="eastAsia"/>
          <w:color w:val="000000"/>
        </w:rPr>
        <w:t>4.第10行＝第11+12+</w:t>
      </w:r>
      <w:r>
        <w:rPr>
          <w:color w:val="000000"/>
        </w:rPr>
        <w:t>…</w:t>
      </w:r>
      <w:r>
        <w:rPr>
          <w:rFonts w:hint="eastAsia"/>
          <w:color w:val="000000"/>
        </w:rPr>
        <w:t>+17行。</w:t>
      </w:r>
    </w:p>
    <w:p>
      <w:pPr>
        <w:pStyle w:val="9"/>
        <w:rPr>
          <w:color w:val="000000"/>
        </w:rPr>
      </w:pPr>
      <w:r>
        <w:rPr>
          <w:rFonts w:hint="eastAsia"/>
          <w:color w:val="000000"/>
        </w:rPr>
        <w:t>5.第18行＝第19+26行。</w:t>
      </w:r>
    </w:p>
    <w:p>
      <w:pPr>
        <w:pStyle w:val="9"/>
        <w:rPr>
          <w:color w:val="000000"/>
        </w:rPr>
      </w:pPr>
      <w:r>
        <w:rPr>
          <w:rFonts w:hint="eastAsia"/>
          <w:color w:val="000000"/>
        </w:rPr>
        <w:t>6.第19行＝第20+21+</w:t>
      </w:r>
      <w:r>
        <w:rPr>
          <w:color w:val="000000"/>
        </w:rPr>
        <w:t>…</w:t>
      </w:r>
      <w:r>
        <w:rPr>
          <w:rFonts w:hint="eastAsia"/>
          <w:color w:val="000000"/>
        </w:rPr>
        <w:t>+25行。</w:t>
      </w:r>
    </w:p>
    <w:p>
      <w:pPr>
        <w:pStyle w:val="9"/>
        <w:rPr>
          <w:color w:val="000000"/>
        </w:rPr>
      </w:pPr>
      <w:r>
        <w:rPr>
          <w:rFonts w:hint="eastAsia"/>
          <w:color w:val="000000"/>
        </w:rPr>
        <w:t>7.第27行＝第28-30-31行。</w:t>
      </w:r>
    </w:p>
    <w:p>
      <w:pPr>
        <w:pStyle w:val="9"/>
        <w:rPr>
          <w:color w:val="000000"/>
        </w:rPr>
      </w:pPr>
      <w:r>
        <w:rPr>
          <w:rFonts w:hint="eastAsia"/>
          <w:color w:val="000000"/>
        </w:rPr>
        <w:t>8.第35行＝第36+37+</w:t>
      </w:r>
      <w:r>
        <w:rPr>
          <w:color w:val="000000"/>
        </w:rPr>
        <w:t>…</w:t>
      </w:r>
      <w:r>
        <w:rPr>
          <w:rFonts w:hint="eastAsia"/>
          <w:color w:val="000000"/>
        </w:rPr>
        <w:t>+42行。</w:t>
      </w:r>
    </w:p>
    <w:p>
      <w:pPr>
        <w:pStyle w:val="12"/>
      </w:pPr>
      <w:r>
        <w:rPr>
          <w:rFonts w:hint="eastAsia"/>
        </w:rPr>
        <w:t>（二）表间关系</w:t>
      </w:r>
    </w:p>
    <w:p>
      <w:pPr>
        <w:pStyle w:val="9"/>
        <w:rPr>
          <w:color w:val="000000"/>
        </w:rPr>
      </w:pPr>
      <w:r>
        <w:rPr>
          <w:rFonts w:hint="eastAsia"/>
          <w:color w:val="000000"/>
        </w:rPr>
        <w:t>1.第1行＝表A100000第1行。</w:t>
      </w:r>
    </w:p>
    <w:p>
      <w:pPr>
        <w:pStyle w:val="9"/>
        <w:rPr>
          <w:color w:val="000000"/>
        </w:rPr>
        <w:sectPr>
          <w:pgSz w:w="11906" w:h="16838"/>
          <w:pgMar w:top="1985" w:right="1418" w:bottom="1928" w:left="1418" w:header="851" w:footer="992" w:gutter="113"/>
          <w:cols w:space="425" w:num="1"/>
          <w:docGrid w:linePitch="312" w:charSpace="0"/>
        </w:sectPr>
      </w:pPr>
      <w:r>
        <w:rPr>
          <w:rFonts w:hint="eastAsia"/>
          <w:color w:val="000000"/>
        </w:rPr>
        <w:t>2.第35行＝表A100000第11行。</w:t>
      </w:r>
    </w:p>
    <w:p>
      <w:pPr>
        <w:pStyle w:val="10"/>
      </w:pPr>
      <w:bookmarkStart w:id="29" w:name="_Toc499456561"/>
      <w:r>
        <w:rPr>
          <w:rFonts w:hint="eastAsia"/>
        </w:rPr>
        <w:t>A102010</w:t>
      </w:r>
      <w:r>
        <w:tab/>
      </w:r>
      <w:r>
        <w:rPr>
          <w:rFonts w:hint="eastAsia"/>
        </w:rPr>
        <w:t>一般企业成本支出明细表</w:t>
      </w:r>
      <w:bookmarkEnd w:id="29"/>
    </w:p>
    <w:tbl>
      <w:tblPr>
        <w:tblStyle w:val="7"/>
        <w:tblW w:w="96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0"/>
        <w:gridCol w:w="6760"/>
        <w:gridCol w:w="2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6760" w:type="dxa"/>
            <w:shd w:val="clear" w:color="auto" w:fill="auto"/>
            <w:vAlign w:val="center"/>
          </w:tcPr>
          <w:p>
            <w:pPr>
              <w:widowControl/>
              <w:jc w:val="center"/>
              <w:rPr>
                <w:rFonts w:ascii="宋体" w:hAnsi="宋体" w:cs="宋体"/>
                <w:kern w:val="0"/>
                <w:sz w:val="20"/>
                <w:szCs w:val="20"/>
              </w:rPr>
            </w:pPr>
            <w:r>
              <w:rPr>
                <w:rFonts w:hint="eastAsia" w:ascii="宋体" w:hAnsi="宋体" w:cs="宋体"/>
                <w:spacing w:val="500"/>
                <w:kern w:val="0"/>
                <w:sz w:val="20"/>
                <w:szCs w:val="20"/>
                <w:fitText w:val="1400" w:id="2"/>
              </w:rPr>
              <w:t>项</w:t>
            </w:r>
            <w:r>
              <w:rPr>
                <w:rFonts w:hint="eastAsia" w:ascii="宋体" w:hAnsi="宋体" w:cs="宋体"/>
                <w:kern w:val="0"/>
                <w:sz w:val="20"/>
                <w:szCs w:val="20"/>
                <w:fitText w:val="1400" w:id="2"/>
              </w:rPr>
              <w:t>目</w:t>
            </w:r>
          </w:p>
        </w:tc>
        <w:tc>
          <w:tcPr>
            <w:tcW w:w="2300" w:type="dxa"/>
            <w:shd w:val="clear" w:color="auto" w:fill="auto"/>
            <w:vAlign w:val="center"/>
          </w:tcPr>
          <w:p>
            <w:pPr>
              <w:widowControl/>
              <w:jc w:val="center"/>
              <w:rPr>
                <w:rFonts w:ascii="宋体" w:hAnsi="宋体" w:cs="宋体"/>
                <w:kern w:val="0"/>
                <w:sz w:val="20"/>
                <w:szCs w:val="20"/>
              </w:rPr>
            </w:pPr>
            <w:r>
              <w:rPr>
                <w:rFonts w:hint="eastAsia" w:ascii="宋体" w:hAnsi="宋体" w:cs="宋体"/>
                <w:spacing w:val="300"/>
                <w:kern w:val="0"/>
                <w:sz w:val="20"/>
                <w:szCs w:val="20"/>
                <w:fitText w:val="1000" w:id="3"/>
              </w:rPr>
              <w:t>金</w:t>
            </w:r>
            <w:r>
              <w:rPr>
                <w:rFonts w:hint="eastAsia" w:ascii="宋体" w:hAnsi="宋体" w:cs="宋体"/>
                <w:kern w:val="0"/>
                <w:sz w:val="20"/>
                <w:szCs w:val="20"/>
                <w:fitText w:val="1000" w:id="3"/>
              </w:rPr>
              <w:t>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一、营业成本（2+9）</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（一）主营业务成本（3+5+6+7+8）</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1.销售商品成本</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其中:非货币性资产交换成本</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2.提供劳务成本</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3.建造合同成本</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4.让渡资产使用权成本</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5.其他</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（二）其他业务成本（10+12+13+14+15）</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1. 销售材料成本</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其中:非货币性资产交换成本</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2.出租固定资产成本</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3.出租无形资产成本</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4.包装物出租成本</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5.其他</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二、营业外支出（17+18+19+20+21+22+23+24+25+26）</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（一）非流动资产处置损失</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（二）非货币性资产交换损失</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（三）债务重组损失</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（四）非常损失</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（五）捐赠支出</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（六）赞助支出</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（七）罚没支出</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（八）坏账损失</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（九）无法收回的债券股权投资损失</w:t>
            </w:r>
          </w:p>
        </w:tc>
        <w:tc>
          <w:tcPr>
            <w:tcW w:w="230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（十）其他</w:t>
            </w:r>
          </w:p>
        </w:tc>
        <w:tc>
          <w:tcPr>
            <w:tcW w:w="2300" w:type="dxa"/>
            <w:shd w:val="clear" w:color="auto" w:fill="auto"/>
            <w:vAlign w:val="center"/>
          </w:tcPr>
          <w:p>
            <w:pPr>
              <w:widowControl/>
              <w:jc w:val="right"/>
              <w:rPr>
                <w:rFonts w:ascii="宋体" w:hAnsi="宋体" w:cs="宋体"/>
                <w:kern w:val="0"/>
                <w:sz w:val="20"/>
                <w:szCs w:val="20"/>
              </w:rPr>
            </w:pPr>
          </w:p>
        </w:tc>
      </w:tr>
    </w:tbl>
    <w:p>
      <w:pPr>
        <w:pStyle w:val="9"/>
      </w:pPr>
    </w:p>
    <w:p>
      <w:pPr>
        <w:pStyle w:val="2"/>
        <w:spacing w:before="0" w:after="0" w:line="360" w:lineRule="auto"/>
        <w:jc w:val="center"/>
        <w:rPr>
          <w:rFonts w:ascii="宋体" w:hAnsi="宋体" w:cs="宋体"/>
          <w:bCs/>
          <w:color w:val="000000"/>
          <w:sz w:val="28"/>
          <w:szCs w:val="28"/>
        </w:rPr>
        <w:sectPr>
          <w:pgSz w:w="11906" w:h="16838"/>
          <w:pgMar w:top="1985" w:right="1418" w:bottom="1644" w:left="1418" w:header="851" w:footer="992" w:gutter="113"/>
          <w:cols w:space="425" w:num="1"/>
          <w:titlePg/>
          <w:docGrid w:linePitch="312" w:charSpace="0"/>
        </w:sectPr>
      </w:pPr>
      <w:bookmarkStart w:id="30" w:name="_Toc393480198"/>
    </w:p>
    <w:p>
      <w:pPr>
        <w:pStyle w:val="8"/>
        <w:spacing w:before="240" w:after="360"/>
        <w:rPr>
          <w:color w:val="000000"/>
        </w:rPr>
      </w:pPr>
      <w:bookmarkStart w:id="31" w:name="_Toc499456562"/>
      <w:r>
        <w:rPr>
          <w:rFonts w:hint="eastAsia"/>
          <w:color w:val="000000"/>
        </w:rPr>
        <w:t>A102010</w:t>
      </w:r>
      <w:r>
        <w:rPr>
          <w:color w:val="000000"/>
        </w:rPr>
        <w:tab/>
      </w:r>
      <w:r>
        <w:rPr>
          <w:color w:val="000000"/>
        </w:rPr>
        <w:tab/>
      </w:r>
      <w:r>
        <w:rPr>
          <w:rFonts w:hint="eastAsia"/>
          <w:color w:val="000000"/>
        </w:rPr>
        <w:t>《一般企业成本支出明细表》填报说明</w:t>
      </w:r>
      <w:bookmarkEnd w:id="30"/>
      <w:bookmarkEnd w:id="31"/>
    </w:p>
    <w:p>
      <w:pPr>
        <w:pStyle w:val="9"/>
        <w:rPr>
          <w:color w:val="000000"/>
        </w:rPr>
      </w:pPr>
      <w:r>
        <w:rPr>
          <w:rFonts w:hint="eastAsia"/>
          <w:color w:val="000000"/>
        </w:rPr>
        <w:t>本表适用于除金融企业、事业单位和民间非营利组织外的企业填报。纳税人应根据国家统一会计制度的规定，填报“主营业务成本”“其他业务成本”和“营业外支出”。</w:t>
      </w:r>
    </w:p>
    <w:p>
      <w:pPr>
        <w:pStyle w:val="11"/>
        <w:ind w:firstLine="482"/>
      </w:pPr>
      <w:bookmarkStart w:id="32" w:name="_Toc393480201"/>
      <w:r>
        <w:rPr>
          <w:rFonts w:hint="eastAsia"/>
        </w:rPr>
        <w:t>一、有关项目填报说明</w:t>
      </w:r>
      <w:bookmarkEnd w:id="32"/>
    </w:p>
    <w:p>
      <w:pPr>
        <w:pStyle w:val="9"/>
        <w:rPr>
          <w:color w:val="000000"/>
        </w:rPr>
      </w:pPr>
      <w:r>
        <w:rPr>
          <w:color w:val="000000"/>
        </w:rPr>
        <w:t>1</w:t>
      </w:r>
      <w:r>
        <w:rPr>
          <w:rFonts w:hint="eastAsia"/>
          <w:color w:val="000000"/>
        </w:rPr>
        <w:t>.第</w:t>
      </w:r>
      <w:r>
        <w:rPr>
          <w:color w:val="000000"/>
        </w:rPr>
        <w:t>1</w:t>
      </w:r>
      <w:r>
        <w:rPr>
          <w:rFonts w:hint="eastAsia"/>
          <w:color w:val="000000"/>
        </w:rPr>
        <w:t>行“营业成本”：填报纳税人主要经营业务和其他经营业务发生的成本总额。本行根据“主营业务成本”和“其他业务成本”的数额计算填报。</w:t>
      </w:r>
    </w:p>
    <w:p>
      <w:pPr>
        <w:pStyle w:val="9"/>
        <w:rPr>
          <w:color w:val="000000"/>
        </w:rPr>
      </w:pPr>
      <w:r>
        <w:rPr>
          <w:color w:val="000000"/>
        </w:rPr>
        <w:t>2.</w:t>
      </w:r>
      <w:r>
        <w:rPr>
          <w:rFonts w:hint="eastAsia"/>
          <w:color w:val="000000"/>
        </w:rPr>
        <w:t>第</w:t>
      </w:r>
      <w:r>
        <w:rPr>
          <w:color w:val="000000"/>
        </w:rPr>
        <w:t>2</w:t>
      </w:r>
      <w:r>
        <w:rPr>
          <w:rFonts w:hint="eastAsia"/>
          <w:color w:val="000000"/>
        </w:rPr>
        <w:t>行“主营业务成本”：根据不同行业的业务性质分别填报纳税人核算的主营业务成本。</w:t>
      </w:r>
    </w:p>
    <w:p>
      <w:pPr>
        <w:pStyle w:val="9"/>
        <w:rPr>
          <w:color w:val="000000"/>
        </w:rPr>
      </w:pPr>
      <w:r>
        <w:rPr>
          <w:color w:val="000000"/>
        </w:rPr>
        <w:t>3</w:t>
      </w:r>
      <w:r>
        <w:rPr>
          <w:rFonts w:hint="eastAsia"/>
          <w:color w:val="000000"/>
        </w:rPr>
        <w:t>.第</w:t>
      </w:r>
      <w:r>
        <w:rPr>
          <w:color w:val="000000"/>
        </w:rPr>
        <w:t>3</w:t>
      </w:r>
      <w:r>
        <w:rPr>
          <w:rFonts w:hint="eastAsia"/>
          <w:color w:val="000000"/>
        </w:rPr>
        <w:t>行“销售商品成本”：填报纳税人从事工业制造、商品流通、农业生产以及其他商品销售活动发生的主营业务成本。房地产开发企业销售开发产品（销售未完工开发产品除外）发生的成本也在此行填报。</w:t>
      </w:r>
    </w:p>
    <w:p>
      <w:pPr>
        <w:pStyle w:val="9"/>
        <w:rPr>
          <w:color w:val="000000"/>
        </w:rPr>
      </w:pPr>
      <w:r>
        <w:rPr>
          <w:color w:val="000000"/>
        </w:rPr>
        <w:t>4.</w:t>
      </w:r>
      <w:r>
        <w:rPr>
          <w:rFonts w:hint="eastAsia"/>
          <w:color w:val="000000"/>
        </w:rPr>
        <w:t>第</w:t>
      </w:r>
      <w:r>
        <w:rPr>
          <w:color w:val="000000"/>
        </w:rPr>
        <w:t>4</w:t>
      </w:r>
      <w:r>
        <w:rPr>
          <w:rFonts w:hint="eastAsia"/>
          <w:color w:val="000000"/>
        </w:rPr>
        <w:t>行“其中：非货币性资产交换成本”：填报纳税人发生的非货币性资产交换按照国家统一会计制度应确认的销售商品成本。</w:t>
      </w:r>
    </w:p>
    <w:p>
      <w:pPr>
        <w:pStyle w:val="9"/>
        <w:rPr>
          <w:color w:val="000000"/>
        </w:rPr>
      </w:pPr>
      <w:r>
        <w:rPr>
          <w:color w:val="000000"/>
        </w:rPr>
        <w:t>5.</w:t>
      </w:r>
      <w:r>
        <w:rPr>
          <w:rFonts w:hint="eastAsia"/>
          <w:color w:val="000000"/>
        </w:rPr>
        <w:t>第</w:t>
      </w:r>
      <w:r>
        <w:rPr>
          <w:color w:val="000000"/>
        </w:rPr>
        <w:t>5</w:t>
      </w:r>
      <w:r>
        <w:rPr>
          <w:rFonts w:hint="eastAsia"/>
          <w:color w:val="000000"/>
        </w:rPr>
        <w:t>行“提供劳务成本”：填报纳税人从事建筑安装、修理修配、交通运输、仓储租赁、邮电通信、咨询经纪、文化体育、科学研究、技术服务、教育培训、餐饮住宿、中介代理、卫生保健、社区服务、旅游、娱乐、加工以及其他劳务活动发生的主营业务成本。</w:t>
      </w:r>
    </w:p>
    <w:p>
      <w:pPr>
        <w:pStyle w:val="9"/>
        <w:rPr>
          <w:color w:val="000000"/>
        </w:rPr>
      </w:pPr>
      <w:r>
        <w:rPr>
          <w:color w:val="000000"/>
        </w:rPr>
        <w:t>6.</w:t>
      </w:r>
      <w:r>
        <w:rPr>
          <w:rFonts w:hint="eastAsia"/>
          <w:color w:val="000000"/>
        </w:rPr>
        <w:t>第</w:t>
      </w:r>
      <w:r>
        <w:rPr>
          <w:color w:val="000000"/>
        </w:rPr>
        <w:t>6</w:t>
      </w:r>
      <w:r>
        <w:rPr>
          <w:rFonts w:hint="eastAsia"/>
          <w:color w:val="000000"/>
        </w:rPr>
        <w:t>行“建造合同成本”：填报纳税人建造房屋、道路、桥梁、水坝等建筑物，以及生产船舶、飞机、大型机械设备等发生的主营业务成本。</w:t>
      </w:r>
    </w:p>
    <w:p>
      <w:pPr>
        <w:pStyle w:val="9"/>
        <w:rPr>
          <w:color w:val="000000"/>
        </w:rPr>
      </w:pPr>
      <w:r>
        <w:rPr>
          <w:color w:val="000000"/>
        </w:rPr>
        <w:t>7</w:t>
      </w:r>
      <w:r>
        <w:rPr>
          <w:rFonts w:hint="eastAsia"/>
          <w:color w:val="000000"/>
        </w:rPr>
        <w:t>.第</w:t>
      </w:r>
      <w:r>
        <w:rPr>
          <w:color w:val="000000"/>
        </w:rPr>
        <w:t>7</w:t>
      </w:r>
      <w:r>
        <w:rPr>
          <w:rFonts w:hint="eastAsia"/>
          <w:color w:val="000000"/>
        </w:rPr>
        <w:t>行“让渡资产使用权成本”：填报纳税人在主营业务成本核算的，让渡无形资产使用权而发生的使用费成本以及出租固定资产、无形资产、投资性房地产发生的租金成本。</w:t>
      </w:r>
    </w:p>
    <w:p>
      <w:pPr>
        <w:pStyle w:val="9"/>
        <w:rPr>
          <w:color w:val="000000"/>
        </w:rPr>
      </w:pPr>
      <w:r>
        <w:rPr>
          <w:color w:val="000000"/>
        </w:rPr>
        <w:t>8</w:t>
      </w:r>
      <w:r>
        <w:rPr>
          <w:rFonts w:hint="eastAsia"/>
          <w:color w:val="000000"/>
        </w:rPr>
        <w:t>.第</w:t>
      </w:r>
      <w:r>
        <w:rPr>
          <w:color w:val="000000"/>
        </w:rPr>
        <w:t>8</w:t>
      </w:r>
      <w:r>
        <w:rPr>
          <w:rFonts w:hint="eastAsia"/>
          <w:color w:val="000000"/>
        </w:rPr>
        <w:t>行“其他”：填报纳税人按照国家统一会计制度核算、上述未列举的其他主营业务成本。</w:t>
      </w:r>
    </w:p>
    <w:p>
      <w:pPr>
        <w:pStyle w:val="9"/>
        <w:rPr>
          <w:color w:val="000000"/>
        </w:rPr>
      </w:pPr>
      <w:r>
        <w:rPr>
          <w:color w:val="000000"/>
        </w:rPr>
        <w:t>9.</w:t>
      </w:r>
      <w:r>
        <w:rPr>
          <w:rFonts w:hint="eastAsia"/>
          <w:color w:val="000000"/>
        </w:rPr>
        <w:t>第9行“其他业务成本”：根据不同行业的业务性质分别填报纳税人按照国家统一会计制度核算的其他业务成本。</w:t>
      </w:r>
    </w:p>
    <w:p>
      <w:pPr>
        <w:pStyle w:val="9"/>
        <w:rPr>
          <w:color w:val="000000"/>
        </w:rPr>
      </w:pPr>
      <w:r>
        <w:rPr>
          <w:color w:val="000000"/>
        </w:rPr>
        <w:t>10.</w:t>
      </w:r>
      <w:r>
        <w:rPr>
          <w:rFonts w:hint="eastAsia"/>
          <w:color w:val="000000"/>
        </w:rPr>
        <w:t>第</w:t>
      </w:r>
      <w:r>
        <w:rPr>
          <w:color w:val="000000"/>
        </w:rPr>
        <w:t>10</w:t>
      </w:r>
      <w:r>
        <w:rPr>
          <w:rFonts w:hint="eastAsia"/>
          <w:color w:val="000000"/>
        </w:rPr>
        <w:t>行“销售材料成本”：填报纳税人销售材料、下脚料、废料、废旧物资等发生的成本。</w:t>
      </w:r>
    </w:p>
    <w:p>
      <w:pPr>
        <w:pStyle w:val="9"/>
        <w:rPr>
          <w:color w:val="000000"/>
        </w:rPr>
      </w:pPr>
      <w:r>
        <w:rPr>
          <w:color w:val="000000"/>
        </w:rPr>
        <w:t>11</w:t>
      </w:r>
      <w:r>
        <w:rPr>
          <w:rFonts w:hint="eastAsia"/>
          <w:color w:val="000000"/>
        </w:rPr>
        <w:t>.第</w:t>
      </w:r>
      <w:r>
        <w:rPr>
          <w:color w:val="000000"/>
        </w:rPr>
        <w:t>11</w:t>
      </w:r>
      <w:r>
        <w:rPr>
          <w:rFonts w:hint="eastAsia"/>
          <w:color w:val="000000"/>
        </w:rPr>
        <w:t>行“其中：非货币性资产交换成本”：填报纳税人发生的非货币性资产交换按照国家统一会计制度应确认的材料销售成本。</w:t>
      </w:r>
    </w:p>
    <w:p>
      <w:pPr>
        <w:pStyle w:val="9"/>
        <w:rPr>
          <w:color w:val="000000"/>
        </w:rPr>
      </w:pPr>
      <w:r>
        <w:rPr>
          <w:color w:val="000000"/>
        </w:rPr>
        <w:t>12.</w:t>
      </w:r>
      <w:r>
        <w:rPr>
          <w:rFonts w:hint="eastAsia"/>
          <w:color w:val="000000"/>
        </w:rPr>
        <w:t>第</w:t>
      </w:r>
      <w:r>
        <w:rPr>
          <w:color w:val="000000"/>
        </w:rPr>
        <w:t>12</w:t>
      </w:r>
      <w:r>
        <w:rPr>
          <w:rFonts w:hint="eastAsia"/>
          <w:color w:val="000000"/>
        </w:rPr>
        <w:t>行“出租固定资产成本”：填报纳税人将固定资产使用权让与承租人形成的出租固定资产成本。</w:t>
      </w:r>
    </w:p>
    <w:p>
      <w:pPr>
        <w:pStyle w:val="9"/>
        <w:rPr>
          <w:color w:val="000000"/>
        </w:rPr>
      </w:pPr>
      <w:r>
        <w:rPr>
          <w:color w:val="000000"/>
        </w:rPr>
        <w:t>13.</w:t>
      </w:r>
      <w:r>
        <w:rPr>
          <w:rFonts w:hint="eastAsia"/>
          <w:color w:val="000000"/>
        </w:rPr>
        <w:t>第</w:t>
      </w:r>
      <w:r>
        <w:rPr>
          <w:color w:val="000000"/>
        </w:rPr>
        <w:t>13</w:t>
      </w:r>
      <w:r>
        <w:rPr>
          <w:rFonts w:hint="eastAsia"/>
          <w:color w:val="000000"/>
        </w:rPr>
        <w:t>行“出租无形资产成本”：填报纳税人让渡无形资产使用权形成的出租无形资产成本。</w:t>
      </w:r>
    </w:p>
    <w:p>
      <w:pPr>
        <w:pStyle w:val="9"/>
        <w:rPr>
          <w:color w:val="000000"/>
        </w:rPr>
      </w:pPr>
      <w:r>
        <w:rPr>
          <w:color w:val="000000"/>
        </w:rPr>
        <w:t>14.</w:t>
      </w:r>
      <w:r>
        <w:rPr>
          <w:rFonts w:hint="eastAsia"/>
          <w:color w:val="000000"/>
        </w:rPr>
        <w:t>第</w:t>
      </w:r>
      <w:r>
        <w:rPr>
          <w:color w:val="000000"/>
        </w:rPr>
        <w:t>14</w:t>
      </w:r>
      <w:r>
        <w:rPr>
          <w:rFonts w:hint="eastAsia"/>
          <w:color w:val="000000"/>
        </w:rPr>
        <w:t>行“包装物出租成本”：填报纳税人出租、出借包装物形成的包装物出租成本。</w:t>
      </w:r>
    </w:p>
    <w:p>
      <w:pPr>
        <w:pStyle w:val="9"/>
        <w:rPr>
          <w:color w:val="000000"/>
        </w:rPr>
      </w:pPr>
      <w:r>
        <w:rPr>
          <w:color w:val="000000"/>
        </w:rPr>
        <w:t>15.</w:t>
      </w:r>
      <w:r>
        <w:rPr>
          <w:rFonts w:hint="eastAsia"/>
          <w:color w:val="000000"/>
        </w:rPr>
        <w:t>第</w:t>
      </w:r>
      <w:r>
        <w:rPr>
          <w:color w:val="000000"/>
        </w:rPr>
        <w:t>15</w:t>
      </w:r>
      <w:r>
        <w:rPr>
          <w:rFonts w:hint="eastAsia"/>
          <w:color w:val="000000"/>
        </w:rPr>
        <w:t>行“其他”：填报纳税人按照国家统一会计制度核算，上述未列举的其他业务成本。</w:t>
      </w:r>
    </w:p>
    <w:p>
      <w:pPr>
        <w:pStyle w:val="9"/>
        <w:rPr>
          <w:color w:val="000000"/>
        </w:rPr>
      </w:pPr>
      <w:r>
        <w:rPr>
          <w:color w:val="000000"/>
        </w:rPr>
        <w:t>16.</w:t>
      </w:r>
      <w:r>
        <w:rPr>
          <w:rFonts w:hint="eastAsia"/>
          <w:color w:val="000000"/>
        </w:rPr>
        <w:t>第</w:t>
      </w:r>
      <w:r>
        <w:rPr>
          <w:color w:val="000000"/>
        </w:rPr>
        <w:t>16</w:t>
      </w:r>
      <w:r>
        <w:rPr>
          <w:rFonts w:hint="eastAsia"/>
          <w:color w:val="000000"/>
        </w:rPr>
        <w:t>行“营业外支出”：填报纳税人计入本科目核算的与生产经营无直接关系的各项支出。</w:t>
      </w:r>
    </w:p>
    <w:p>
      <w:pPr>
        <w:pStyle w:val="9"/>
        <w:rPr>
          <w:color w:val="000000"/>
        </w:rPr>
      </w:pPr>
      <w:r>
        <w:rPr>
          <w:color w:val="000000"/>
        </w:rPr>
        <w:t>17.</w:t>
      </w:r>
      <w:r>
        <w:rPr>
          <w:rFonts w:hint="eastAsia"/>
          <w:color w:val="000000"/>
        </w:rPr>
        <w:t>第</w:t>
      </w:r>
      <w:r>
        <w:rPr>
          <w:color w:val="000000"/>
        </w:rPr>
        <w:t>17</w:t>
      </w:r>
      <w:r>
        <w:rPr>
          <w:rFonts w:hint="eastAsia"/>
          <w:color w:val="000000"/>
        </w:rPr>
        <w:t>行“非流动资产处置损失”：填报纳税人处置非流动资产形成的净损失。</w:t>
      </w:r>
    </w:p>
    <w:p>
      <w:pPr>
        <w:pStyle w:val="9"/>
        <w:rPr>
          <w:color w:val="000000"/>
        </w:rPr>
      </w:pPr>
      <w:r>
        <w:rPr>
          <w:color w:val="000000"/>
        </w:rPr>
        <w:t>18.</w:t>
      </w:r>
      <w:r>
        <w:rPr>
          <w:rFonts w:hint="eastAsia"/>
          <w:color w:val="000000"/>
        </w:rPr>
        <w:t>第</w:t>
      </w:r>
      <w:r>
        <w:rPr>
          <w:color w:val="000000"/>
        </w:rPr>
        <w:t>18</w:t>
      </w:r>
      <w:r>
        <w:rPr>
          <w:rFonts w:hint="eastAsia"/>
          <w:color w:val="000000"/>
        </w:rPr>
        <w:t>行“非货币性资产交换损失”：填报纳税人发生非货币性资产交换应确认的净损失。</w:t>
      </w:r>
    </w:p>
    <w:p>
      <w:pPr>
        <w:pStyle w:val="9"/>
        <w:rPr>
          <w:color w:val="000000"/>
        </w:rPr>
      </w:pPr>
      <w:r>
        <w:rPr>
          <w:color w:val="000000"/>
        </w:rPr>
        <w:t>19.</w:t>
      </w:r>
      <w:r>
        <w:rPr>
          <w:rFonts w:hint="eastAsia"/>
          <w:color w:val="000000"/>
        </w:rPr>
        <w:t>第</w:t>
      </w:r>
      <w:r>
        <w:rPr>
          <w:color w:val="000000"/>
        </w:rPr>
        <w:t>19</w:t>
      </w:r>
      <w:r>
        <w:rPr>
          <w:rFonts w:hint="eastAsia"/>
          <w:color w:val="000000"/>
        </w:rPr>
        <w:t>行“债务重组损失”：填报纳税人进行债务重组应确认的净损失。</w:t>
      </w:r>
    </w:p>
    <w:p>
      <w:pPr>
        <w:pStyle w:val="9"/>
        <w:rPr>
          <w:color w:val="000000"/>
        </w:rPr>
      </w:pPr>
      <w:r>
        <w:rPr>
          <w:color w:val="000000"/>
        </w:rPr>
        <w:t>20.</w:t>
      </w:r>
      <w:r>
        <w:rPr>
          <w:rFonts w:hint="eastAsia"/>
          <w:color w:val="000000"/>
        </w:rPr>
        <w:t>第</w:t>
      </w:r>
      <w:r>
        <w:rPr>
          <w:color w:val="000000"/>
        </w:rPr>
        <w:t>20</w:t>
      </w:r>
      <w:r>
        <w:rPr>
          <w:rFonts w:hint="eastAsia"/>
          <w:color w:val="000000"/>
        </w:rPr>
        <w:t>行“非常损失”：填报纳税人在营业外支出中核算的各项非正常的财产损失。</w:t>
      </w:r>
    </w:p>
    <w:p>
      <w:pPr>
        <w:pStyle w:val="9"/>
        <w:rPr>
          <w:color w:val="000000"/>
        </w:rPr>
      </w:pPr>
      <w:r>
        <w:rPr>
          <w:color w:val="000000"/>
        </w:rPr>
        <w:t>21.</w:t>
      </w:r>
      <w:r>
        <w:rPr>
          <w:rFonts w:hint="eastAsia"/>
          <w:color w:val="000000"/>
        </w:rPr>
        <w:t>第</w:t>
      </w:r>
      <w:r>
        <w:rPr>
          <w:color w:val="000000"/>
        </w:rPr>
        <w:t>21</w:t>
      </w:r>
      <w:r>
        <w:rPr>
          <w:rFonts w:hint="eastAsia"/>
          <w:color w:val="000000"/>
        </w:rPr>
        <w:t>行“捐赠支出”：填报纳税人无偿给予其他企业、组织或个人的货币性资产、非货币性资产的捐赠支出。</w:t>
      </w:r>
    </w:p>
    <w:p>
      <w:pPr>
        <w:pStyle w:val="9"/>
        <w:rPr>
          <w:color w:val="000000"/>
        </w:rPr>
      </w:pPr>
      <w:r>
        <w:rPr>
          <w:color w:val="000000"/>
        </w:rPr>
        <w:t>22.</w:t>
      </w:r>
      <w:r>
        <w:rPr>
          <w:rFonts w:hint="eastAsia"/>
          <w:color w:val="000000"/>
        </w:rPr>
        <w:t>第</w:t>
      </w:r>
      <w:r>
        <w:rPr>
          <w:color w:val="000000"/>
        </w:rPr>
        <w:t>22</w:t>
      </w:r>
      <w:r>
        <w:rPr>
          <w:rFonts w:hint="eastAsia"/>
          <w:color w:val="000000"/>
        </w:rPr>
        <w:t>行“赞助支出”：填报纳税人发生的货币性资产、非货币性资产赞助支出。</w:t>
      </w:r>
    </w:p>
    <w:p>
      <w:pPr>
        <w:pStyle w:val="9"/>
        <w:rPr>
          <w:color w:val="000000"/>
        </w:rPr>
      </w:pPr>
      <w:r>
        <w:rPr>
          <w:color w:val="000000"/>
        </w:rPr>
        <w:t>23</w:t>
      </w:r>
      <w:r>
        <w:rPr>
          <w:rFonts w:hint="eastAsia"/>
          <w:color w:val="000000"/>
        </w:rPr>
        <w:t>.第</w:t>
      </w:r>
      <w:r>
        <w:rPr>
          <w:color w:val="000000"/>
        </w:rPr>
        <w:t>23</w:t>
      </w:r>
      <w:r>
        <w:rPr>
          <w:rFonts w:hint="eastAsia"/>
          <w:color w:val="000000"/>
        </w:rPr>
        <w:t>行“罚没支出”：填报纳税人在日常经营管理活动中对外支付的各项罚款、没收收入的支出。</w:t>
      </w:r>
    </w:p>
    <w:p>
      <w:pPr>
        <w:pStyle w:val="9"/>
        <w:rPr>
          <w:color w:val="000000"/>
        </w:rPr>
      </w:pPr>
      <w:r>
        <w:rPr>
          <w:color w:val="000000"/>
        </w:rPr>
        <w:t>24</w:t>
      </w:r>
      <w:r>
        <w:rPr>
          <w:rFonts w:hint="eastAsia"/>
          <w:color w:val="000000"/>
        </w:rPr>
        <w:t>.第</w:t>
      </w:r>
      <w:r>
        <w:rPr>
          <w:color w:val="000000"/>
        </w:rPr>
        <w:t>24</w:t>
      </w:r>
      <w:r>
        <w:rPr>
          <w:rFonts w:hint="eastAsia"/>
          <w:color w:val="000000"/>
        </w:rPr>
        <w:t>行“坏帐损失”：填报纳税人发生的各项坏帐损失。（该项目为使用小企业会计准则企业填报）</w:t>
      </w:r>
    </w:p>
    <w:p>
      <w:pPr>
        <w:pStyle w:val="9"/>
        <w:rPr>
          <w:color w:val="000000"/>
        </w:rPr>
      </w:pPr>
      <w:r>
        <w:rPr>
          <w:color w:val="000000"/>
        </w:rPr>
        <w:t>25</w:t>
      </w:r>
      <w:r>
        <w:rPr>
          <w:rFonts w:hint="eastAsia"/>
          <w:color w:val="000000"/>
        </w:rPr>
        <w:t>.第</w:t>
      </w:r>
      <w:r>
        <w:rPr>
          <w:color w:val="000000"/>
        </w:rPr>
        <w:t>25</w:t>
      </w:r>
      <w:r>
        <w:rPr>
          <w:rFonts w:hint="eastAsia"/>
          <w:color w:val="000000"/>
        </w:rPr>
        <w:t>行“无法收回的债券股权投资损失”：填报纳税人各项无法收回的债券股权投资损失。（该项目为使用小企业会计准则企业填报）</w:t>
      </w:r>
    </w:p>
    <w:p>
      <w:pPr>
        <w:pStyle w:val="9"/>
        <w:rPr>
          <w:color w:val="000000"/>
        </w:rPr>
      </w:pPr>
      <w:r>
        <w:rPr>
          <w:color w:val="000000"/>
        </w:rPr>
        <w:t>26.</w:t>
      </w:r>
      <w:r>
        <w:rPr>
          <w:rFonts w:hint="eastAsia"/>
          <w:color w:val="000000"/>
        </w:rPr>
        <w:t>第</w:t>
      </w:r>
      <w:r>
        <w:rPr>
          <w:color w:val="000000"/>
        </w:rPr>
        <w:t>26</w:t>
      </w:r>
      <w:r>
        <w:rPr>
          <w:rFonts w:hint="eastAsia"/>
          <w:color w:val="000000"/>
        </w:rPr>
        <w:t>行“其他”：填报纳税人本期实际发生的在营业外支出核算的其他损失及支出。</w:t>
      </w:r>
    </w:p>
    <w:p>
      <w:pPr>
        <w:pStyle w:val="11"/>
        <w:ind w:firstLine="482"/>
      </w:pPr>
      <w:bookmarkStart w:id="33" w:name="_Toc393480202"/>
      <w:r>
        <w:rPr>
          <w:rFonts w:hint="eastAsia"/>
        </w:rPr>
        <w:t>二、表内、表间关系</w:t>
      </w:r>
      <w:bookmarkEnd w:id="33"/>
    </w:p>
    <w:p>
      <w:pPr>
        <w:pStyle w:val="12"/>
        <w:rPr>
          <w:color w:val="000000"/>
        </w:rPr>
      </w:pPr>
      <w:r>
        <w:rPr>
          <w:rFonts w:hint="eastAsia"/>
          <w:color w:val="000000"/>
        </w:rPr>
        <w:t>（一）表内关系</w:t>
      </w:r>
    </w:p>
    <w:p>
      <w:pPr>
        <w:pStyle w:val="9"/>
        <w:rPr>
          <w:color w:val="000000"/>
        </w:rPr>
      </w:pPr>
      <w:r>
        <w:rPr>
          <w:color w:val="000000"/>
        </w:rPr>
        <w:t>1.</w:t>
      </w:r>
      <w:r>
        <w:rPr>
          <w:rFonts w:hint="eastAsia"/>
          <w:color w:val="000000"/>
        </w:rPr>
        <w:t>第</w:t>
      </w:r>
      <w:r>
        <w:rPr>
          <w:color w:val="000000"/>
        </w:rPr>
        <w:t>1</w:t>
      </w:r>
      <w:r>
        <w:rPr>
          <w:rFonts w:hint="eastAsia"/>
          <w:color w:val="000000"/>
        </w:rPr>
        <w:t>行</w:t>
      </w:r>
      <w:r>
        <w:rPr>
          <w:color w:val="000000"/>
        </w:rPr>
        <w:t>＝</w:t>
      </w:r>
      <w:r>
        <w:rPr>
          <w:rFonts w:hint="eastAsia"/>
          <w:color w:val="000000"/>
        </w:rPr>
        <w:t>第</w:t>
      </w:r>
      <w:r>
        <w:rPr>
          <w:color w:val="000000"/>
        </w:rPr>
        <w:t>2+</w:t>
      </w:r>
      <w:r>
        <w:rPr>
          <w:rFonts w:hint="eastAsia"/>
          <w:color w:val="000000"/>
        </w:rPr>
        <w:t>9行。</w:t>
      </w:r>
    </w:p>
    <w:p>
      <w:pPr>
        <w:pStyle w:val="9"/>
        <w:rPr>
          <w:color w:val="000000"/>
        </w:rPr>
      </w:pPr>
      <w:r>
        <w:rPr>
          <w:color w:val="000000"/>
        </w:rPr>
        <w:t>2.</w:t>
      </w:r>
      <w:r>
        <w:rPr>
          <w:rFonts w:hint="eastAsia"/>
          <w:color w:val="000000"/>
        </w:rPr>
        <w:t>第</w:t>
      </w:r>
      <w:r>
        <w:rPr>
          <w:color w:val="000000"/>
        </w:rPr>
        <w:t>2</w:t>
      </w:r>
      <w:r>
        <w:rPr>
          <w:rFonts w:hint="eastAsia"/>
          <w:color w:val="000000"/>
        </w:rPr>
        <w:t>行</w:t>
      </w:r>
      <w:r>
        <w:rPr>
          <w:color w:val="000000"/>
        </w:rPr>
        <w:t>＝</w:t>
      </w:r>
      <w:r>
        <w:rPr>
          <w:rFonts w:hint="eastAsia"/>
          <w:color w:val="000000"/>
        </w:rPr>
        <w:t>第</w:t>
      </w:r>
      <w:r>
        <w:rPr>
          <w:color w:val="000000"/>
        </w:rPr>
        <w:t>3+5+6+7+8</w:t>
      </w:r>
      <w:r>
        <w:rPr>
          <w:rFonts w:hint="eastAsia"/>
          <w:color w:val="000000"/>
        </w:rPr>
        <w:t>行。</w:t>
      </w:r>
    </w:p>
    <w:p>
      <w:pPr>
        <w:pStyle w:val="9"/>
        <w:rPr>
          <w:color w:val="000000"/>
        </w:rPr>
      </w:pPr>
      <w:r>
        <w:rPr>
          <w:color w:val="000000"/>
        </w:rPr>
        <w:t>3.</w:t>
      </w:r>
      <w:r>
        <w:rPr>
          <w:rFonts w:hint="eastAsia"/>
          <w:color w:val="000000"/>
        </w:rPr>
        <w:t>第</w:t>
      </w:r>
      <w:r>
        <w:rPr>
          <w:color w:val="000000"/>
        </w:rPr>
        <w:t>9</w:t>
      </w:r>
      <w:r>
        <w:rPr>
          <w:rFonts w:hint="eastAsia"/>
          <w:color w:val="000000"/>
        </w:rPr>
        <w:t>行</w:t>
      </w:r>
      <w:r>
        <w:rPr>
          <w:color w:val="000000"/>
        </w:rPr>
        <w:t>＝</w:t>
      </w:r>
      <w:r>
        <w:rPr>
          <w:rFonts w:hint="eastAsia"/>
          <w:color w:val="000000"/>
        </w:rPr>
        <w:t>第</w:t>
      </w:r>
      <w:r>
        <w:rPr>
          <w:color w:val="000000"/>
        </w:rPr>
        <w:t>10+12+13+14+15</w:t>
      </w:r>
      <w:r>
        <w:rPr>
          <w:rFonts w:hint="eastAsia"/>
          <w:color w:val="000000"/>
        </w:rPr>
        <w:t>行。</w:t>
      </w:r>
    </w:p>
    <w:p>
      <w:pPr>
        <w:pStyle w:val="9"/>
        <w:rPr>
          <w:color w:val="000000"/>
        </w:rPr>
      </w:pPr>
      <w:r>
        <w:rPr>
          <w:color w:val="000000"/>
        </w:rPr>
        <w:t>4.</w:t>
      </w:r>
      <w:r>
        <w:rPr>
          <w:rFonts w:hint="eastAsia"/>
          <w:color w:val="000000"/>
        </w:rPr>
        <w:t>第</w:t>
      </w:r>
      <w:r>
        <w:rPr>
          <w:color w:val="000000"/>
        </w:rPr>
        <w:t>16</w:t>
      </w:r>
      <w:r>
        <w:rPr>
          <w:rFonts w:hint="eastAsia"/>
          <w:color w:val="000000"/>
        </w:rPr>
        <w:t>行</w:t>
      </w:r>
      <w:r>
        <w:rPr>
          <w:color w:val="000000"/>
        </w:rPr>
        <w:t>＝</w:t>
      </w:r>
      <w:r>
        <w:rPr>
          <w:rFonts w:hint="eastAsia"/>
          <w:color w:val="000000"/>
        </w:rPr>
        <w:t>第</w:t>
      </w:r>
      <w:r>
        <w:rPr>
          <w:color w:val="000000"/>
        </w:rPr>
        <w:t>17+18+…</w:t>
      </w:r>
      <w:r>
        <w:rPr>
          <w:rFonts w:hint="eastAsia"/>
          <w:color w:val="000000"/>
        </w:rPr>
        <w:t>+</w:t>
      </w:r>
      <w:r>
        <w:rPr>
          <w:color w:val="000000"/>
        </w:rPr>
        <w:t>26</w:t>
      </w:r>
      <w:r>
        <w:rPr>
          <w:rFonts w:hint="eastAsia"/>
          <w:color w:val="000000"/>
        </w:rPr>
        <w:t>行。</w:t>
      </w:r>
    </w:p>
    <w:p>
      <w:pPr>
        <w:pStyle w:val="12"/>
        <w:rPr>
          <w:color w:val="000000"/>
        </w:rPr>
      </w:pPr>
      <w:r>
        <w:rPr>
          <w:rFonts w:hint="eastAsia"/>
          <w:color w:val="000000"/>
        </w:rPr>
        <w:t>（二）表间关系</w:t>
      </w:r>
    </w:p>
    <w:p>
      <w:pPr>
        <w:pStyle w:val="9"/>
        <w:rPr>
          <w:color w:val="000000"/>
        </w:rPr>
      </w:pPr>
      <w:r>
        <w:rPr>
          <w:color w:val="000000"/>
        </w:rPr>
        <w:t>1</w:t>
      </w:r>
      <w:r>
        <w:rPr>
          <w:rFonts w:hint="eastAsia"/>
          <w:color w:val="000000"/>
        </w:rPr>
        <w:t>.第</w:t>
      </w:r>
      <w:r>
        <w:rPr>
          <w:color w:val="000000"/>
        </w:rPr>
        <w:t>1</w:t>
      </w:r>
      <w:r>
        <w:rPr>
          <w:rFonts w:hint="eastAsia"/>
          <w:color w:val="000000"/>
        </w:rPr>
        <w:t>行</w:t>
      </w:r>
      <w:r>
        <w:rPr>
          <w:color w:val="000000"/>
        </w:rPr>
        <w:t>＝</w:t>
      </w:r>
      <w:r>
        <w:rPr>
          <w:rFonts w:hint="eastAsia"/>
          <w:color w:val="000000"/>
        </w:rPr>
        <w:t>表</w:t>
      </w:r>
      <w:r>
        <w:rPr>
          <w:color w:val="000000"/>
        </w:rPr>
        <w:t>A10000</w:t>
      </w:r>
      <w:r>
        <w:rPr>
          <w:rFonts w:hint="eastAsia"/>
          <w:color w:val="000000"/>
        </w:rPr>
        <w:t>0第</w:t>
      </w:r>
      <w:r>
        <w:rPr>
          <w:color w:val="000000"/>
        </w:rPr>
        <w:t>2</w:t>
      </w:r>
      <w:r>
        <w:rPr>
          <w:rFonts w:hint="eastAsia"/>
          <w:color w:val="000000"/>
        </w:rPr>
        <w:t>行。</w:t>
      </w:r>
    </w:p>
    <w:p>
      <w:pPr>
        <w:pStyle w:val="9"/>
        <w:rPr>
          <w:color w:val="000000"/>
        </w:rPr>
        <w:sectPr>
          <w:pgSz w:w="11906" w:h="16838"/>
          <w:pgMar w:top="1985" w:right="1418" w:bottom="1928" w:left="1418" w:header="851" w:footer="992" w:gutter="113"/>
          <w:cols w:space="425" w:num="1"/>
          <w:docGrid w:linePitch="312" w:charSpace="0"/>
        </w:sectPr>
      </w:pPr>
      <w:r>
        <w:rPr>
          <w:color w:val="000000"/>
        </w:rPr>
        <w:t>2</w:t>
      </w:r>
      <w:r>
        <w:rPr>
          <w:rFonts w:hint="eastAsia"/>
          <w:color w:val="000000"/>
        </w:rPr>
        <w:t>.第</w:t>
      </w:r>
      <w:r>
        <w:rPr>
          <w:color w:val="000000"/>
        </w:rPr>
        <w:t>16</w:t>
      </w:r>
      <w:r>
        <w:rPr>
          <w:rFonts w:hint="eastAsia"/>
          <w:color w:val="000000"/>
        </w:rPr>
        <w:t>行</w:t>
      </w:r>
      <w:r>
        <w:rPr>
          <w:color w:val="000000"/>
        </w:rPr>
        <w:t>＝</w:t>
      </w:r>
      <w:r>
        <w:rPr>
          <w:rFonts w:hint="eastAsia"/>
          <w:color w:val="000000"/>
        </w:rPr>
        <w:t>表</w:t>
      </w:r>
      <w:r>
        <w:rPr>
          <w:color w:val="000000"/>
        </w:rPr>
        <w:t>A10000</w:t>
      </w:r>
      <w:r>
        <w:rPr>
          <w:rFonts w:hint="eastAsia"/>
          <w:color w:val="000000"/>
        </w:rPr>
        <w:t>0第</w:t>
      </w:r>
      <w:r>
        <w:rPr>
          <w:color w:val="000000"/>
        </w:rPr>
        <w:t>12</w:t>
      </w:r>
      <w:r>
        <w:rPr>
          <w:rFonts w:hint="eastAsia"/>
          <w:color w:val="000000"/>
        </w:rPr>
        <w:t>行。</w:t>
      </w:r>
    </w:p>
    <w:p>
      <w:pPr>
        <w:pStyle w:val="10"/>
      </w:pPr>
      <w:bookmarkStart w:id="34" w:name="_Toc499456563"/>
      <w:r>
        <w:rPr>
          <w:rFonts w:hint="eastAsia"/>
        </w:rPr>
        <w:t>A102020</w:t>
      </w:r>
      <w:r>
        <w:tab/>
      </w:r>
      <w:r>
        <w:rPr>
          <w:rFonts w:hint="eastAsia"/>
        </w:rPr>
        <w:t>金融企业支出明细表</w:t>
      </w:r>
      <w:bookmarkEnd w:id="34"/>
    </w:p>
    <w:tbl>
      <w:tblPr>
        <w:tblStyle w:val="7"/>
        <w:tblW w:w="97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6760"/>
        <w:gridCol w:w="23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6760" w:type="dxa"/>
            <w:shd w:val="clear" w:color="auto" w:fill="auto"/>
            <w:vAlign w:val="center"/>
          </w:tcPr>
          <w:p>
            <w:pPr>
              <w:widowControl/>
              <w:jc w:val="center"/>
              <w:rPr>
                <w:rFonts w:ascii="宋体" w:hAnsi="宋体" w:cs="宋体"/>
                <w:kern w:val="0"/>
                <w:sz w:val="20"/>
                <w:szCs w:val="20"/>
              </w:rPr>
            </w:pPr>
            <w:r>
              <w:rPr>
                <w:rFonts w:hint="eastAsia" w:ascii="宋体" w:hAnsi="宋体" w:cs="宋体"/>
                <w:spacing w:val="500"/>
                <w:kern w:val="0"/>
                <w:sz w:val="20"/>
                <w:szCs w:val="20"/>
                <w:fitText w:val="1400" w:id="4"/>
              </w:rPr>
              <w:t>项</w:t>
            </w:r>
            <w:r>
              <w:rPr>
                <w:rFonts w:hint="eastAsia" w:ascii="宋体" w:hAnsi="宋体" w:cs="宋体"/>
                <w:kern w:val="0"/>
                <w:sz w:val="20"/>
                <w:szCs w:val="20"/>
                <w:fitText w:val="1400" w:id="4"/>
              </w:rPr>
              <w:t>目</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spacing w:val="300"/>
                <w:kern w:val="0"/>
                <w:sz w:val="20"/>
                <w:szCs w:val="20"/>
                <w:fitText w:val="1000" w:id="5"/>
              </w:rPr>
              <w:t>金</w:t>
            </w:r>
            <w:r>
              <w:rPr>
                <w:rFonts w:hint="eastAsia" w:ascii="宋体" w:hAnsi="宋体" w:cs="宋体"/>
                <w:kern w:val="0"/>
                <w:sz w:val="20"/>
                <w:szCs w:val="20"/>
                <w:fitText w:val="1000" w:id="5"/>
              </w:rPr>
              <w:t>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一、营业支出（2+15+25+31+32）</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（一）银行业务支出（3+11）</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1.银行利息支出（4+5+6+7+8+9+10）</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（1）同业存放</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（2）向中央银行借款</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（3）拆入资金</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（4）吸收存款</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（5）卖出回购金融资产</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（6）发行债券</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（7）其他</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2.银行手续费及佣金支出（12+13+14）</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（1）手续费支出</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（2）佣金支出</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（3）其他</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（二）保险业务支出（16+17-18+19-20+21+22-23+24）</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1.退保金</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2.赔付支出</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减：摊回赔付支出</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3.提取保险责任准备金</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减：摊回保险责任准备金</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4.保单红利支出</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5.分保费用</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减：摊回分保费用</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6.保险业务手续费及佣金支出</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（三）证券业务支出（26+30）</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1.证券业务手续费及佣金支出（27+28+29）</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（1）证券经纪业务手续费支出</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（2）佣金支出</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（3）其他</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2.其他证券业务支出</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（四）其他金融业务支出</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（五）其他业务成本</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二、营业外支出（34+35+36+37+38+39）</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（一）非流动资产处置损失</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（二）非货币性资产交换损失</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（三）债务重组损失</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（四）捐赠支出</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（五）非常损失</w:t>
            </w:r>
          </w:p>
        </w:tc>
        <w:tc>
          <w:tcPr>
            <w:tcW w:w="2320"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（六）其他</w:t>
            </w:r>
          </w:p>
        </w:tc>
        <w:tc>
          <w:tcPr>
            <w:tcW w:w="2320" w:type="dxa"/>
            <w:shd w:val="clear" w:color="auto" w:fill="auto"/>
            <w:vAlign w:val="center"/>
          </w:tcPr>
          <w:p>
            <w:pPr>
              <w:widowControl/>
              <w:jc w:val="right"/>
              <w:rPr>
                <w:rFonts w:ascii="宋体" w:hAnsi="宋体" w:cs="宋体"/>
                <w:kern w:val="0"/>
                <w:sz w:val="20"/>
                <w:szCs w:val="20"/>
              </w:rPr>
            </w:pPr>
          </w:p>
        </w:tc>
      </w:tr>
    </w:tbl>
    <w:p>
      <w:pPr>
        <w:tabs>
          <w:tab w:val="left" w:pos="915"/>
        </w:tabs>
        <w:sectPr>
          <w:pgSz w:w="11906" w:h="16838"/>
          <w:pgMar w:top="1985" w:right="1418" w:bottom="1928" w:left="1418" w:header="851" w:footer="992" w:gutter="113"/>
          <w:cols w:space="425" w:num="1"/>
          <w:titlePg/>
          <w:docGrid w:linePitch="312" w:charSpace="0"/>
        </w:sectPr>
      </w:pPr>
    </w:p>
    <w:p>
      <w:pPr>
        <w:pStyle w:val="8"/>
        <w:spacing w:before="240" w:after="360"/>
        <w:rPr>
          <w:color w:val="000000"/>
        </w:rPr>
      </w:pPr>
      <w:bookmarkStart w:id="35" w:name="_Toc499456564"/>
      <w:r>
        <w:rPr>
          <w:rFonts w:hint="eastAsia"/>
          <w:color w:val="000000"/>
        </w:rPr>
        <w:t>A102020</w:t>
      </w:r>
      <w:r>
        <w:rPr>
          <w:color w:val="000000"/>
        </w:rPr>
        <w:tab/>
      </w:r>
      <w:r>
        <w:rPr>
          <w:rFonts w:hint="eastAsia"/>
          <w:color w:val="000000"/>
        </w:rPr>
        <w:t>《金融企业支出明细表》填报说明</w:t>
      </w:r>
      <w:bookmarkEnd w:id="35"/>
    </w:p>
    <w:p>
      <w:pPr>
        <w:spacing w:line="360" w:lineRule="auto"/>
        <w:ind w:firstLine="480" w:firstLineChars="200"/>
        <w:rPr>
          <w:rFonts w:ascii="宋体" w:hAnsi="宋体"/>
          <w:color w:val="000000"/>
          <w:sz w:val="24"/>
        </w:rPr>
      </w:pPr>
      <w:r>
        <w:rPr>
          <w:rFonts w:hint="eastAsia" w:ascii="宋体" w:hAnsi="宋体"/>
          <w:color w:val="000000"/>
          <w:sz w:val="24"/>
        </w:rPr>
        <w:t>本表适用于执行企业会计准则的金融企业纳税人填报，包括银行（信用社）、保险公司、证券公司等金融企业。纳税人根据企业会计准则的规定填报“营业支出”“营业外支出”。金融企业发生的业务及管理费填报表A104000《期间费用明细表》第1列“销售费用”相应的行次。</w:t>
      </w:r>
    </w:p>
    <w:p>
      <w:pPr>
        <w:pStyle w:val="11"/>
        <w:ind w:firstLine="482"/>
      </w:pPr>
      <w:r>
        <w:rPr>
          <w:rFonts w:hint="eastAsia"/>
        </w:rPr>
        <w:t>一、有关项目填报说明</w:t>
      </w:r>
    </w:p>
    <w:p>
      <w:pPr>
        <w:pStyle w:val="9"/>
        <w:rPr>
          <w:color w:val="000000"/>
        </w:rPr>
      </w:pPr>
      <w:r>
        <w:rPr>
          <w:rFonts w:hint="eastAsia"/>
          <w:color w:val="000000"/>
        </w:rPr>
        <w:t>1.第1行“营业支出”：填报金融企业提供金融商品服务发生的支出。</w:t>
      </w:r>
    </w:p>
    <w:p>
      <w:pPr>
        <w:pStyle w:val="9"/>
        <w:rPr>
          <w:color w:val="000000"/>
        </w:rPr>
      </w:pPr>
      <w:r>
        <w:rPr>
          <w:rFonts w:hint="eastAsia"/>
          <w:color w:val="000000"/>
        </w:rPr>
        <w:t>2.第2行“银行业务支出”：填报纳税人从事银行业务发生的支出。</w:t>
      </w:r>
    </w:p>
    <w:p>
      <w:pPr>
        <w:pStyle w:val="9"/>
        <w:rPr>
          <w:color w:val="000000"/>
        </w:rPr>
      </w:pPr>
      <w:r>
        <w:rPr>
          <w:rFonts w:hint="eastAsia"/>
          <w:color w:val="000000"/>
        </w:rPr>
        <w:t>3.第3行“银行利息支出”：填报纳税人经营存贷款业务等发生的利息支出，包括同业存放、向中央银行借款、拆入资金、吸收存款、卖出回购金融资产、发行债券和其他业务利息支出。</w:t>
      </w:r>
    </w:p>
    <w:p>
      <w:pPr>
        <w:pStyle w:val="9"/>
        <w:rPr>
          <w:color w:val="000000"/>
        </w:rPr>
      </w:pPr>
      <w:r>
        <w:rPr>
          <w:rFonts w:hint="eastAsia"/>
          <w:color w:val="000000"/>
        </w:rPr>
        <w:t>4.第11行“银行手续费及佣金支出”：填报纳税人发生的与银行业务活动相关的各项手续费、佣金等支出。</w:t>
      </w:r>
    </w:p>
    <w:p>
      <w:pPr>
        <w:pStyle w:val="9"/>
        <w:rPr>
          <w:color w:val="000000"/>
        </w:rPr>
      </w:pPr>
      <w:r>
        <w:rPr>
          <w:rFonts w:hint="eastAsia"/>
          <w:color w:val="000000"/>
        </w:rPr>
        <w:t>5.第15行“保险业务支出”：填报保险企业发生的与保险业务相关的费用支出。</w:t>
      </w:r>
    </w:p>
    <w:p>
      <w:pPr>
        <w:pStyle w:val="9"/>
        <w:rPr>
          <w:color w:val="000000"/>
        </w:rPr>
      </w:pPr>
      <w:r>
        <w:rPr>
          <w:rFonts w:hint="eastAsia"/>
          <w:color w:val="000000"/>
        </w:rPr>
        <w:t>6.第16行“退保金”：填报保险企业寿险原保险合同提前解除时按照约定应当退还投保人的保单现金价值。</w:t>
      </w:r>
    </w:p>
    <w:p>
      <w:pPr>
        <w:pStyle w:val="9"/>
        <w:rPr>
          <w:color w:val="000000"/>
        </w:rPr>
      </w:pPr>
      <w:r>
        <w:rPr>
          <w:rFonts w:hint="eastAsia"/>
          <w:color w:val="000000"/>
        </w:rPr>
        <w:t>7.第17行“赔付支出”：填报保险企业支付的原保险合同赔付款项和再保险合同赔付款项。</w:t>
      </w:r>
    </w:p>
    <w:p>
      <w:pPr>
        <w:pStyle w:val="9"/>
        <w:rPr>
          <w:color w:val="000000"/>
        </w:rPr>
      </w:pPr>
      <w:r>
        <w:rPr>
          <w:rFonts w:hint="eastAsia"/>
          <w:color w:val="000000"/>
        </w:rPr>
        <w:t>8.第18行“减：摊回赔付支出”：填报保险企业（再保险分出人）向再保险接受人摊回的赔付成本。</w:t>
      </w:r>
    </w:p>
    <w:p>
      <w:pPr>
        <w:pStyle w:val="9"/>
        <w:rPr>
          <w:color w:val="000000"/>
        </w:rPr>
      </w:pPr>
      <w:r>
        <w:rPr>
          <w:rFonts w:hint="eastAsia"/>
          <w:color w:val="000000"/>
        </w:rPr>
        <w:t>9.第19行“提取保险责任准备金”：填报保险企业提取的原保险合同保险责任准备金，包括提取的未决赔款准备金、提取的寿险责任准备金、提取的长期健康责任准备金。</w:t>
      </w:r>
    </w:p>
    <w:p>
      <w:pPr>
        <w:pStyle w:val="9"/>
        <w:rPr>
          <w:color w:val="000000"/>
        </w:rPr>
      </w:pPr>
      <w:r>
        <w:rPr>
          <w:rFonts w:hint="eastAsia"/>
          <w:color w:val="000000"/>
        </w:rPr>
        <w:t>10.第20行“减：摊回保险责任准备金”：填报保险企业（再保险分出人）从事再保险业务应向再保险接受人摊回的保险责任准备金，包括未决赔款准备金、寿险责任准备金、长期健康险责任准备金。</w:t>
      </w:r>
    </w:p>
    <w:p>
      <w:pPr>
        <w:pStyle w:val="9"/>
        <w:rPr>
          <w:color w:val="000000"/>
        </w:rPr>
      </w:pPr>
      <w:r>
        <w:rPr>
          <w:rFonts w:hint="eastAsia"/>
          <w:color w:val="000000"/>
        </w:rPr>
        <w:t>11.第21行“保单红利支出”：填报保险企业按原保险合同约定支付给投保人的红利。</w:t>
      </w:r>
    </w:p>
    <w:p>
      <w:pPr>
        <w:pStyle w:val="9"/>
        <w:rPr>
          <w:color w:val="000000"/>
        </w:rPr>
      </w:pPr>
      <w:r>
        <w:rPr>
          <w:rFonts w:hint="eastAsia"/>
          <w:color w:val="000000"/>
        </w:rPr>
        <w:t>12.第22行“分保费用”：填报保险企业（再保险接受人）向再保险分出人支付的分保费用。</w:t>
      </w:r>
    </w:p>
    <w:p>
      <w:pPr>
        <w:pStyle w:val="9"/>
        <w:rPr>
          <w:color w:val="000000"/>
        </w:rPr>
      </w:pPr>
      <w:r>
        <w:rPr>
          <w:rFonts w:hint="eastAsia"/>
          <w:color w:val="000000"/>
        </w:rPr>
        <w:t>13.第23行“减：摊回分保费用”：填报保险企业（再保险分出人）向再保险接受人摊回的分保费用。</w:t>
      </w:r>
    </w:p>
    <w:p>
      <w:pPr>
        <w:pStyle w:val="9"/>
        <w:rPr>
          <w:color w:val="000000"/>
        </w:rPr>
      </w:pPr>
      <w:r>
        <w:rPr>
          <w:rFonts w:hint="eastAsia"/>
          <w:color w:val="000000"/>
        </w:rPr>
        <w:t>14.第24行“保险业务手续费及佣金支出”：填报保险企业发生的与其保险业务活动相关的各项手续费、佣金支出。</w:t>
      </w:r>
    </w:p>
    <w:p>
      <w:pPr>
        <w:pStyle w:val="9"/>
        <w:rPr>
          <w:color w:val="000000"/>
        </w:rPr>
      </w:pPr>
      <w:r>
        <w:rPr>
          <w:rFonts w:hint="eastAsia"/>
          <w:color w:val="000000"/>
        </w:rPr>
        <w:t>15.第25行“证券业务支出”：填报纳税人从事证券业务发生的证券手续费支出和其他证券业务支出。</w:t>
      </w:r>
    </w:p>
    <w:p>
      <w:pPr>
        <w:pStyle w:val="9"/>
        <w:rPr>
          <w:color w:val="000000"/>
        </w:rPr>
      </w:pPr>
      <w:r>
        <w:rPr>
          <w:rFonts w:hint="eastAsia"/>
          <w:color w:val="000000"/>
        </w:rPr>
        <w:t>16.第26行“证券业务手续费及佣金支出”：填报纳税人代理承销、兑付和买卖证券等业务发生的各项手续费、风险结算金、承销业务直接相关的各项费用及佣金支出。</w:t>
      </w:r>
    </w:p>
    <w:p>
      <w:pPr>
        <w:pStyle w:val="9"/>
        <w:rPr>
          <w:color w:val="000000"/>
        </w:rPr>
      </w:pPr>
      <w:r>
        <w:rPr>
          <w:rFonts w:hint="eastAsia"/>
          <w:color w:val="000000"/>
        </w:rPr>
        <w:t>17.第30行“其他证券业务支出”：填报纳税人从事除经纪、自营和承销业务以外的与证券有关的业务支出。</w:t>
      </w:r>
    </w:p>
    <w:p>
      <w:pPr>
        <w:pStyle w:val="9"/>
        <w:rPr>
          <w:color w:val="000000"/>
        </w:rPr>
      </w:pPr>
      <w:r>
        <w:rPr>
          <w:rFonts w:hint="eastAsia"/>
          <w:color w:val="000000"/>
        </w:rPr>
        <w:t>18.第31行“其他金融业务支出”：填报纳税人提供除银行业、保险业、证券业以外的金融商品服务发生的相关业务支出。</w:t>
      </w:r>
    </w:p>
    <w:p>
      <w:pPr>
        <w:pStyle w:val="9"/>
        <w:rPr>
          <w:color w:val="000000"/>
        </w:rPr>
      </w:pPr>
      <w:r>
        <w:rPr>
          <w:rFonts w:hint="eastAsia"/>
          <w:color w:val="000000"/>
        </w:rPr>
        <w:t>19.第32行“其他业务成本”：填报纳税人发生的除主营业务活动以外的其他经营活动发生的支出。</w:t>
      </w:r>
    </w:p>
    <w:p>
      <w:pPr>
        <w:pStyle w:val="9"/>
      </w:pPr>
      <w:r>
        <w:rPr>
          <w:rFonts w:hint="eastAsia"/>
        </w:rPr>
        <w:t>20.第33行“营业外支出”：填报纳税人发生的各项营业外支出，包括非流动资产处置损失、非货币性资产交换损失、债务重组损失、捐赠支出、非常损失等。</w:t>
      </w:r>
    </w:p>
    <w:p>
      <w:pPr>
        <w:pStyle w:val="9"/>
      </w:pPr>
      <w:r>
        <w:rPr>
          <w:rFonts w:hint="eastAsia"/>
        </w:rPr>
        <w:t>21.第34行“非流动资产处置损失”：填报纳税人处置非流动资产形成的净损失。</w:t>
      </w:r>
    </w:p>
    <w:p>
      <w:pPr>
        <w:pStyle w:val="9"/>
        <w:rPr>
          <w:color w:val="000000"/>
        </w:rPr>
      </w:pPr>
      <w:r>
        <w:rPr>
          <w:rFonts w:hint="eastAsia" w:cs="宋体"/>
          <w:color w:val="000000"/>
        </w:rPr>
        <w:t>22.第35行“非货币性资产交换损失”：填报纳税人发生非货币性资产交换应确认的净损失。</w:t>
      </w:r>
    </w:p>
    <w:p>
      <w:pPr>
        <w:pStyle w:val="9"/>
        <w:rPr>
          <w:color w:val="000000"/>
        </w:rPr>
      </w:pPr>
      <w:r>
        <w:rPr>
          <w:rFonts w:hint="eastAsia" w:cs="宋体"/>
          <w:color w:val="000000"/>
        </w:rPr>
        <w:t>23.第36行“债务重组损失”：填报纳税人进行债务重组应确认的净损失。</w:t>
      </w:r>
    </w:p>
    <w:p>
      <w:pPr>
        <w:pStyle w:val="9"/>
        <w:rPr>
          <w:rFonts w:cs="宋体"/>
          <w:color w:val="000000"/>
        </w:rPr>
      </w:pPr>
      <w:r>
        <w:rPr>
          <w:rFonts w:hint="eastAsia" w:cs="宋体"/>
          <w:color w:val="000000"/>
        </w:rPr>
        <w:t>24.第37行“捐赠支出”：填报纳税人无偿给予其他企业、组织或个人的货币性资产、非货币性资产的捐赠支出。</w:t>
      </w:r>
    </w:p>
    <w:p>
      <w:pPr>
        <w:pStyle w:val="9"/>
        <w:rPr>
          <w:rFonts w:cs="宋体"/>
          <w:color w:val="000000"/>
        </w:rPr>
      </w:pPr>
      <w:r>
        <w:rPr>
          <w:rFonts w:hint="eastAsia" w:cs="宋体"/>
          <w:color w:val="000000"/>
        </w:rPr>
        <w:t>25.第38行“非常损失”：填报纳税人在营业外支出中核算的各项非正常的财产损失。</w:t>
      </w:r>
    </w:p>
    <w:p>
      <w:pPr>
        <w:pStyle w:val="9"/>
        <w:rPr>
          <w:color w:val="000000"/>
        </w:rPr>
      </w:pPr>
      <w:r>
        <w:rPr>
          <w:rFonts w:hint="eastAsia" w:cs="宋体"/>
          <w:color w:val="000000"/>
        </w:rPr>
        <w:t>26.第39行“其他”：填报纳税人本期实际发生的在营业外支出核算的其他损失及支出。</w:t>
      </w:r>
    </w:p>
    <w:p>
      <w:pPr>
        <w:pStyle w:val="11"/>
        <w:ind w:firstLine="482"/>
        <w:rPr>
          <w:color w:val="000000"/>
        </w:rPr>
      </w:pPr>
      <w:r>
        <w:rPr>
          <w:rFonts w:hint="eastAsia"/>
          <w:color w:val="000000"/>
        </w:rPr>
        <w:t>二、表内、表间关系</w:t>
      </w:r>
    </w:p>
    <w:p>
      <w:pPr>
        <w:pStyle w:val="12"/>
        <w:rPr>
          <w:color w:val="000000"/>
        </w:rPr>
      </w:pPr>
      <w:r>
        <w:rPr>
          <w:rFonts w:hint="eastAsia"/>
          <w:color w:val="000000"/>
        </w:rPr>
        <w:t>（一）表内关系</w:t>
      </w:r>
    </w:p>
    <w:p>
      <w:pPr>
        <w:pStyle w:val="9"/>
        <w:rPr>
          <w:color w:val="000000"/>
        </w:rPr>
      </w:pPr>
      <w:r>
        <w:rPr>
          <w:rFonts w:hint="eastAsia"/>
          <w:color w:val="000000"/>
        </w:rPr>
        <w:t>1.第1行＝第2+15+25+31+32行。</w:t>
      </w:r>
    </w:p>
    <w:p>
      <w:pPr>
        <w:pStyle w:val="9"/>
        <w:rPr>
          <w:color w:val="000000"/>
        </w:rPr>
      </w:pPr>
      <w:r>
        <w:rPr>
          <w:rFonts w:hint="eastAsia"/>
          <w:color w:val="000000"/>
        </w:rPr>
        <w:t>2.第2行＝第3+11行。</w:t>
      </w:r>
    </w:p>
    <w:p>
      <w:pPr>
        <w:pStyle w:val="9"/>
        <w:rPr>
          <w:color w:val="000000"/>
        </w:rPr>
      </w:pPr>
      <w:r>
        <w:rPr>
          <w:rFonts w:hint="eastAsia"/>
          <w:color w:val="000000"/>
        </w:rPr>
        <w:t>3.第3行＝第4+5+</w:t>
      </w:r>
      <w:r>
        <w:rPr>
          <w:color w:val="000000"/>
        </w:rPr>
        <w:t>…</w:t>
      </w:r>
      <w:r>
        <w:rPr>
          <w:rFonts w:hint="eastAsia"/>
          <w:color w:val="000000"/>
        </w:rPr>
        <w:t>+10行。</w:t>
      </w:r>
    </w:p>
    <w:p>
      <w:pPr>
        <w:pStyle w:val="9"/>
        <w:rPr>
          <w:color w:val="000000"/>
        </w:rPr>
      </w:pPr>
      <w:r>
        <w:rPr>
          <w:rFonts w:hint="eastAsia"/>
          <w:color w:val="000000"/>
        </w:rPr>
        <w:t>4.第11行＝第12+13+14行。</w:t>
      </w:r>
    </w:p>
    <w:p>
      <w:pPr>
        <w:pStyle w:val="9"/>
        <w:rPr>
          <w:color w:val="000000"/>
        </w:rPr>
      </w:pPr>
      <w:r>
        <w:rPr>
          <w:rFonts w:hint="eastAsia"/>
          <w:color w:val="000000"/>
        </w:rPr>
        <w:t>5.第15行＝第16+17-18+19-20+21+22-23+24行。</w:t>
      </w:r>
    </w:p>
    <w:p>
      <w:pPr>
        <w:pStyle w:val="9"/>
        <w:rPr>
          <w:color w:val="000000"/>
        </w:rPr>
      </w:pPr>
      <w:r>
        <w:rPr>
          <w:rFonts w:hint="eastAsia"/>
          <w:color w:val="000000"/>
        </w:rPr>
        <w:t>6.第25行＝第26+30行。</w:t>
      </w:r>
    </w:p>
    <w:p>
      <w:pPr>
        <w:pStyle w:val="9"/>
        <w:rPr>
          <w:color w:val="000000"/>
        </w:rPr>
      </w:pPr>
      <w:r>
        <w:rPr>
          <w:rFonts w:hint="eastAsia"/>
          <w:color w:val="000000"/>
        </w:rPr>
        <w:t>7.第26行＝第27+28+29行。</w:t>
      </w:r>
    </w:p>
    <w:p>
      <w:pPr>
        <w:pStyle w:val="9"/>
        <w:rPr>
          <w:color w:val="000000"/>
        </w:rPr>
      </w:pPr>
      <w:r>
        <w:rPr>
          <w:rFonts w:hint="eastAsia"/>
          <w:color w:val="000000"/>
        </w:rPr>
        <w:t>8.第33行＝第34+35+</w:t>
      </w:r>
      <w:r>
        <w:rPr>
          <w:color w:val="000000"/>
        </w:rPr>
        <w:t>…</w:t>
      </w:r>
      <w:r>
        <w:rPr>
          <w:rFonts w:hint="eastAsia"/>
          <w:color w:val="000000"/>
        </w:rPr>
        <w:t>39行。</w:t>
      </w:r>
    </w:p>
    <w:p>
      <w:pPr>
        <w:pStyle w:val="12"/>
        <w:rPr>
          <w:color w:val="000000"/>
        </w:rPr>
      </w:pPr>
      <w:r>
        <w:rPr>
          <w:rFonts w:hint="eastAsia"/>
          <w:color w:val="000000"/>
        </w:rPr>
        <w:t>（二）表间关系</w:t>
      </w:r>
    </w:p>
    <w:p>
      <w:pPr>
        <w:pStyle w:val="9"/>
        <w:rPr>
          <w:color w:val="000000"/>
        </w:rPr>
      </w:pPr>
      <w:r>
        <w:rPr>
          <w:rFonts w:hint="eastAsia"/>
          <w:color w:val="000000"/>
        </w:rPr>
        <w:t>1.第1行＝表A100000第2行。</w:t>
      </w:r>
    </w:p>
    <w:p>
      <w:pPr>
        <w:pStyle w:val="9"/>
        <w:rPr>
          <w:color w:val="000000"/>
        </w:rPr>
        <w:sectPr>
          <w:pgSz w:w="11906" w:h="16838"/>
          <w:pgMar w:top="1985" w:right="1418" w:bottom="1928" w:left="1418" w:header="851" w:footer="992" w:gutter="113"/>
          <w:cols w:space="425" w:num="1"/>
          <w:docGrid w:linePitch="312" w:charSpace="0"/>
        </w:sectPr>
      </w:pPr>
      <w:r>
        <w:rPr>
          <w:rFonts w:hint="eastAsia"/>
          <w:color w:val="000000"/>
        </w:rPr>
        <w:t>2.第33行＝表A100000第12行。</w:t>
      </w:r>
    </w:p>
    <w:p>
      <w:pPr>
        <w:pStyle w:val="10"/>
      </w:pPr>
      <w:bookmarkStart w:id="36" w:name="_Toc499456565"/>
      <w:r>
        <w:rPr>
          <w:rFonts w:hint="eastAsia"/>
        </w:rPr>
        <w:t>A103000</w:t>
      </w:r>
      <w:r>
        <w:tab/>
      </w:r>
      <w:r>
        <w:rPr>
          <w:rFonts w:hint="eastAsia"/>
        </w:rPr>
        <w:t>事业单位、民间非营利组织收入、支出明细表</w:t>
      </w:r>
      <w:bookmarkEnd w:id="36"/>
    </w:p>
    <w:tbl>
      <w:tblPr>
        <w:tblStyle w:val="7"/>
        <w:tblW w:w="89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4880"/>
        <w:gridCol w:w="34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488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        目</w:t>
            </w:r>
          </w:p>
        </w:tc>
        <w:tc>
          <w:tcPr>
            <w:tcW w:w="34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金    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8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一、事业单位收入（2+3+4+5+6+7）</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（一）财政补助收入</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（二）事业收入</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（三）上级补助收入</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（四）附属单位上缴收入</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（五）经营收入</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（六）其他收入（8+9）</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4880" w:type="dxa"/>
            <w:shd w:val="clear" w:color="auto" w:fill="auto"/>
            <w:vAlign w:val="center"/>
          </w:tcPr>
          <w:p>
            <w:pPr>
              <w:widowControl/>
              <w:ind w:firstLine="1000" w:firstLineChars="500"/>
              <w:jc w:val="left"/>
              <w:rPr>
                <w:rFonts w:ascii="宋体" w:hAnsi="宋体" w:cs="宋体"/>
                <w:kern w:val="0"/>
                <w:sz w:val="20"/>
                <w:szCs w:val="20"/>
              </w:rPr>
            </w:pPr>
            <w:r>
              <w:rPr>
                <w:rFonts w:hint="eastAsia" w:ascii="宋体" w:hAnsi="宋体" w:cs="宋体"/>
                <w:kern w:val="0"/>
                <w:sz w:val="20"/>
                <w:szCs w:val="20"/>
              </w:rPr>
              <w:t>其中：投资收益</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4880" w:type="dxa"/>
            <w:shd w:val="clear" w:color="auto" w:fill="auto"/>
            <w:vAlign w:val="center"/>
          </w:tcPr>
          <w:p>
            <w:pPr>
              <w:widowControl/>
              <w:ind w:firstLine="1600" w:firstLineChars="800"/>
              <w:jc w:val="left"/>
              <w:rPr>
                <w:rFonts w:ascii="宋体" w:hAnsi="宋体" w:cs="宋体"/>
                <w:kern w:val="0"/>
                <w:sz w:val="20"/>
                <w:szCs w:val="20"/>
              </w:rPr>
            </w:pPr>
            <w:r>
              <w:rPr>
                <w:rFonts w:hint="eastAsia" w:ascii="宋体" w:hAnsi="宋体" w:cs="宋体"/>
                <w:kern w:val="0"/>
                <w:sz w:val="20"/>
                <w:szCs w:val="20"/>
              </w:rPr>
              <w:t>其他</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48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二、民间非营利组织收入(11+12+13+14+15+16+17)</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（一）接受捐赠收入</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（二）会费收入</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（三）提供劳务收入</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（四）商品销售收入</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（五）政府补助收入</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（六）投资收益</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（七）其他收入</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48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三、事业单位支出（19+20+21+22+23）</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（一）事业支出</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（二）上缴上级支出</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（三）对附属单位补助支出</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（四）经营支出</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（五）其他支出</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8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四、民间非营利组织支出（25+26+27+28）</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（一）业务活动成本</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（二）管理费用</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（三）筹资费用</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488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（四）其他费用</w:t>
            </w:r>
          </w:p>
        </w:tc>
        <w:tc>
          <w:tcPr>
            <w:tcW w:w="34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tabs>
          <w:tab w:val="left" w:pos="2820"/>
        </w:tabs>
        <w:sectPr>
          <w:pgSz w:w="11906" w:h="16838"/>
          <w:pgMar w:top="1985" w:right="1418" w:bottom="1928" w:left="1418" w:header="851" w:footer="992" w:gutter="113"/>
          <w:cols w:space="425" w:num="1"/>
          <w:titlePg/>
          <w:docGrid w:linePitch="312" w:charSpace="0"/>
        </w:sectPr>
      </w:pPr>
      <w:r>
        <w:tab/>
      </w:r>
    </w:p>
    <w:p>
      <w:pPr>
        <w:pStyle w:val="8"/>
        <w:spacing w:before="240" w:after="360"/>
        <w:rPr>
          <w:color w:val="000000"/>
        </w:rPr>
      </w:pPr>
      <w:bookmarkStart w:id="37" w:name="_Toc499456566"/>
      <w:bookmarkStart w:id="38" w:name="_Toc393480208"/>
      <w:r>
        <w:rPr>
          <w:color w:val="000000"/>
        </w:rPr>
        <w:t>A103000</w:t>
      </w:r>
      <w:r>
        <w:rPr>
          <w:color w:val="000000"/>
        </w:rPr>
        <w:tab/>
      </w:r>
      <w:r>
        <w:rPr>
          <w:rFonts w:hint="eastAsia"/>
          <w:color w:val="000000"/>
        </w:rPr>
        <w:t>《事业单位、民间非营利组织收入、支出明细表》填报说明</w:t>
      </w:r>
      <w:bookmarkEnd w:id="37"/>
    </w:p>
    <w:p>
      <w:pPr>
        <w:pStyle w:val="9"/>
      </w:pPr>
      <w:r>
        <w:rPr>
          <w:rFonts w:hint="eastAsia"/>
        </w:rPr>
        <w:t>本表适用于实行事业单位会计准则的事业单位以及执行民间非营利组织会计制度的社会团体、民办非企业单位、非营利性组织等查账征收居民纳税人填报。纳税人应根据事业单位会计准则、民间非营利组织会计制度的规定，填报“事业单位收入”“民间非营利组织收入”“事业单位支出”“民间非营利组织支出”等。</w:t>
      </w:r>
    </w:p>
    <w:p>
      <w:pPr>
        <w:pStyle w:val="11"/>
        <w:ind w:firstLine="482"/>
      </w:pPr>
      <w:r>
        <w:rPr>
          <w:rFonts w:hint="eastAsia"/>
        </w:rPr>
        <w:t>一、有关项目填报说明</w:t>
      </w:r>
    </w:p>
    <w:p>
      <w:pPr>
        <w:pStyle w:val="12"/>
      </w:pPr>
      <w:r>
        <w:rPr>
          <w:rFonts w:hint="eastAsia"/>
        </w:rPr>
        <w:t>（一）事业单位填报说明</w:t>
      </w:r>
    </w:p>
    <w:p>
      <w:pPr>
        <w:pStyle w:val="9"/>
      </w:pPr>
      <w:r>
        <w:rPr>
          <w:rFonts w:hint="eastAsia"/>
        </w:rPr>
        <w:t>第1行至第9行由执行事业单位会计准则的纳税人填报。</w:t>
      </w:r>
    </w:p>
    <w:p>
      <w:pPr>
        <w:pStyle w:val="9"/>
      </w:pPr>
      <w:r>
        <w:rPr>
          <w:rFonts w:hint="eastAsia"/>
        </w:rPr>
        <w:t>1.第1行“事业单位收入”：填报纳税人取得的所有收入的金额（包括不征税收入和免税收入），按照会计核算口径填报。</w:t>
      </w:r>
    </w:p>
    <w:p>
      <w:pPr>
        <w:pStyle w:val="9"/>
      </w:pPr>
      <w:r>
        <w:rPr>
          <w:rFonts w:hint="eastAsia"/>
        </w:rPr>
        <w:t>2.第2行“财政补助收入”：填报纳税人直接从同级财政部门取得的各类财政拨款，包括基本支出补助和项目支出补助。</w:t>
      </w:r>
    </w:p>
    <w:p>
      <w:pPr>
        <w:pStyle w:val="9"/>
      </w:pPr>
      <w:r>
        <w:rPr>
          <w:rFonts w:hint="eastAsia"/>
        </w:rPr>
        <w:t>3.第3行“事业收入”：填报纳税人通过开展专业业务活动及辅助活动所取得的收入。</w:t>
      </w:r>
    </w:p>
    <w:p>
      <w:pPr>
        <w:pStyle w:val="9"/>
      </w:pPr>
      <w:r>
        <w:rPr>
          <w:rFonts w:hint="eastAsia"/>
        </w:rPr>
        <w:t>4.第4行“上级补助收入”：填报纳税人从主管部门和上级单位取得的非财政补助收入。</w:t>
      </w:r>
    </w:p>
    <w:p>
      <w:pPr>
        <w:pStyle w:val="9"/>
      </w:pPr>
      <w:r>
        <w:rPr>
          <w:rFonts w:hint="eastAsia"/>
        </w:rPr>
        <w:t>5.第5行“附属单位上缴收入”：填报纳税人附属独立核算单位按有关规定上缴的收入。包括附属事业单位上缴的收入和附属企业上缴的利润等。</w:t>
      </w:r>
    </w:p>
    <w:p>
      <w:pPr>
        <w:pStyle w:val="9"/>
      </w:pPr>
      <w:r>
        <w:rPr>
          <w:rFonts w:hint="eastAsia"/>
        </w:rPr>
        <w:t>6.第6行“经营收入”：填报纳税人开展专业业务活动及其辅助活动之外开展非独立核算经营活动取得的收入。</w:t>
      </w:r>
    </w:p>
    <w:p>
      <w:pPr>
        <w:pStyle w:val="9"/>
      </w:pPr>
      <w:r>
        <w:rPr>
          <w:rFonts w:hint="eastAsia"/>
        </w:rPr>
        <w:t>7.第7行“其他收入”：填报纳税人取得的除本表第2行至第6行项目以外的收入，包括投资收益、银行存款利息收入、租金收入、捐赠收入、现金盘盈收入、存货盘盈收入、收回已核销应收及预付款项、无法偿付的应付及预收款项等。</w:t>
      </w:r>
    </w:p>
    <w:p>
      <w:pPr>
        <w:pStyle w:val="9"/>
      </w:pPr>
      <w:r>
        <w:rPr>
          <w:rFonts w:hint="eastAsia"/>
        </w:rPr>
        <w:t>8.第8行“其中：投资收益”：填报在“其他收入”科目中核算的各项短期投资、长期债券投资、长期股权投资取得的投资收益。</w:t>
      </w:r>
    </w:p>
    <w:p>
      <w:pPr>
        <w:pStyle w:val="9"/>
      </w:pPr>
      <w:r>
        <w:rPr>
          <w:rFonts w:hint="eastAsia"/>
        </w:rPr>
        <w:t>9.第9行“其他”：填报在“其他收入”科目中核算的除投资收益以外的收入。</w:t>
      </w:r>
    </w:p>
    <w:p>
      <w:pPr>
        <w:pStyle w:val="12"/>
      </w:pPr>
      <w:r>
        <w:rPr>
          <w:rFonts w:hint="eastAsia"/>
        </w:rPr>
        <w:t>（二）民间非营利组织填报说明</w:t>
      </w:r>
    </w:p>
    <w:p>
      <w:pPr>
        <w:pStyle w:val="9"/>
      </w:pPr>
      <w:r>
        <w:rPr>
          <w:rFonts w:hint="eastAsia"/>
        </w:rPr>
        <w:t>第10行至第17行由执行民间非营利组织会计制度的纳税人填报。</w:t>
      </w:r>
    </w:p>
    <w:p>
      <w:pPr>
        <w:pStyle w:val="9"/>
      </w:pPr>
      <w:r>
        <w:rPr>
          <w:rFonts w:hint="eastAsia"/>
        </w:rPr>
        <w:t>10.第10行“民间非营利组织收入”：填报纳税人开展业务活动取得的收入，应当包括接受捐赠收入、会费收入、提供劳务收入、政府补助收入、投资收益、商品销售收入等主要业务活动收入和其他收入等。</w:t>
      </w:r>
    </w:p>
    <w:p>
      <w:pPr>
        <w:pStyle w:val="9"/>
      </w:pPr>
      <w:r>
        <w:rPr>
          <w:rFonts w:hint="eastAsia"/>
        </w:rPr>
        <w:t>11.第11行“接受捐赠收入”：填报纳税人接受其他单位或者个人捐赠所取得的收入。</w:t>
      </w:r>
    </w:p>
    <w:p>
      <w:pPr>
        <w:pStyle w:val="9"/>
      </w:pPr>
      <w:r>
        <w:rPr>
          <w:rFonts w:hint="eastAsia"/>
        </w:rPr>
        <w:t>12.第12行“会费收入”：填报纳税人根据章程等规定向会员收取的会费收入。</w:t>
      </w:r>
    </w:p>
    <w:p>
      <w:pPr>
        <w:pStyle w:val="9"/>
      </w:pPr>
      <w:r>
        <w:rPr>
          <w:rFonts w:hint="eastAsia"/>
        </w:rPr>
        <w:t>13.第13行“提供劳务收入”：填报纳税人根据章程等规定向其服务对象提供服务取得的收入，包括学费收入、医疗费收入、培训收入等。</w:t>
      </w:r>
    </w:p>
    <w:p>
      <w:pPr>
        <w:pStyle w:val="9"/>
      </w:pPr>
      <w:r>
        <w:rPr>
          <w:rFonts w:hint="eastAsia"/>
        </w:rPr>
        <w:t>14.第14行“商品销售收入”：填报纳税人销售商品（如出版物、药品等）所形成的收入。</w:t>
      </w:r>
    </w:p>
    <w:p>
      <w:pPr>
        <w:pStyle w:val="9"/>
      </w:pPr>
      <w:r>
        <w:rPr>
          <w:rFonts w:hint="eastAsia"/>
        </w:rPr>
        <w:t>15.第15行“政府补助收入”：填报纳税人接受政府拨款或者政府机构给予的补助而取得的收入。</w:t>
      </w:r>
    </w:p>
    <w:p>
      <w:pPr>
        <w:pStyle w:val="9"/>
      </w:pPr>
      <w:r>
        <w:rPr>
          <w:rFonts w:hint="eastAsia"/>
        </w:rPr>
        <w:t>16.第16行“投资收益”：填报纳税人因对外投资取得的投资净收益。</w:t>
      </w:r>
    </w:p>
    <w:p>
      <w:pPr>
        <w:pStyle w:val="9"/>
      </w:pPr>
      <w:r>
        <w:rPr>
          <w:rFonts w:hint="eastAsia"/>
        </w:rPr>
        <w:t>17.第17行“其他收入”：填报纳税人除上述主要业务活动收入以外的其他收入，如固定资产处置净收入、无形资产处置净收入等。</w:t>
      </w:r>
    </w:p>
    <w:p>
      <w:pPr>
        <w:pStyle w:val="9"/>
      </w:pPr>
      <w:r>
        <w:rPr>
          <w:rFonts w:hint="eastAsia"/>
        </w:rPr>
        <w:t>第18行至第23行由执行事业单位会计准则的纳税人填报。</w:t>
      </w:r>
    </w:p>
    <w:p>
      <w:pPr>
        <w:pStyle w:val="9"/>
      </w:pPr>
      <w:r>
        <w:rPr>
          <w:rFonts w:hint="eastAsia"/>
        </w:rPr>
        <w:t>18.第18行“事业单位支出”：填报纳税人发生的所有支出总额（含不征税收入形成的支出），按照会计核算口径填报。</w:t>
      </w:r>
    </w:p>
    <w:p>
      <w:pPr>
        <w:pStyle w:val="9"/>
      </w:pPr>
      <w:r>
        <w:rPr>
          <w:rFonts w:hint="eastAsia"/>
        </w:rPr>
        <w:t>19.第19行“事业支出”：填报纳税人开展专业业务活动及其辅助活动发生的支出，包括工资、补助工资、职工福利费、社会保障费、助学金，公务费、业务费、设备购置费、修缮费和其他费用。</w:t>
      </w:r>
    </w:p>
    <w:p>
      <w:pPr>
        <w:pStyle w:val="9"/>
      </w:pPr>
      <w:r>
        <w:rPr>
          <w:rFonts w:hint="eastAsia"/>
        </w:rPr>
        <w:t>20.第20行“上缴上级支出”：填报纳税人按照财政部门和主管部门的规定上缴上级单位的支出。</w:t>
      </w:r>
    </w:p>
    <w:p>
      <w:pPr>
        <w:pStyle w:val="9"/>
      </w:pPr>
      <w:r>
        <w:rPr>
          <w:rFonts w:hint="eastAsia"/>
        </w:rPr>
        <w:t>21.第21行“对附属单位补助支出”：填报纳税人用财政补助收入之外的收入对附属单位补助发生的支出。</w:t>
      </w:r>
    </w:p>
    <w:p>
      <w:pPr>
        <w:pStyle w:val="9"/>
      </w:pPr>
      <w:r>
        <w:rPr>
          <w:rFonts w:hint="eastAsia"/>
        </w:rPr>
        <w:t>22.第22行“经营支出”：填报纳税人在专业业务活动及其辅助活动之外开展非独立核算经营活动发生的支出。</w:t>
      </w:r>
    </w:p>
    <w:p>
      <w:pPr>
        <w:pStyle w:val="9"/>
      </w:pPr>
      <w:r>
        <w:rPr>
          <w:rFonts w:hint="eastAsia"/>
        </w:rPr>
        <w:t>23.第23行“其他支出”：填报纳税人除本表第19行至第22行项目以外的支出，包括利息支出、捐赠支出、现金盘亏损失、资产处置损失、接受捐赠（调入）非流动资产发生的税费支出等。</w:t>
      </w:r>
    </w:p>
    <w:p>
      <w:pPr>
        <w:pStyle w:val="9"/>
      </w:pPr>
      <w:r>
        <w:rPr>
          <w:rFonts w:hint="eastAsia"/>
        </w:rPr>
        <w:t>第24行至第28行由执行民间非营利组织会计制度的纳税人填报。</w:t>
      </w:r>
    </w:p>
    <w:p>
      <w:pPr>
        <w:pStyle w:val="9"/>
      </w:pPr>
      <w:r>
        <w:rPr>
          <w:rFonts w:hint="eastAsia"/>
        </w:rPr>
        <w:t>24.第24行“民间非营利组织支出”：填报纳税人发生的所有支出总额。按照会计核算口径填报。</w:t>
      </w:r>
    </w:p>
    <w:p>
      <w:pPr>
        <w:pStyle w:val="9"/>
      </w:pPr>
      <w:r>
        <w:rPr>
          <w:rFonts w:hint="eastAsia"/>
        </w:rPr>
        <w:t>25.第25行“业务活动成本”：填报民间非营利组织为了实现其业务活动目标、开展某项目活动或者提供劳务所发生的费用。</w:t>
      </w:r>
    </w:p>
    <w:p>
      <w:pPr>
        <w:pStyle w:val="9"/>
      </w:pPr>
      <w:r>
        <w:rPr>
          <w:rFonts w:hint="eastAsia"/>
        </w:rPr>
        <w:t>26.第26行“管理费用”：填报民间非营利组织为组织和管理其业务活动所发生的各项费用，包括民间非营利组织董事会（或者理事会或者类似权力机构）经费和行政管理人员的工资、奖金、津贴、福利费、住房公积金、住房补贴、社会保障费、离退休人员工资与补助，以及办公费、水电费、邮电费、物业管理费、差旅费、折旧费、修理费、无形资产摊销费、存货盘亏损失、资产减值损失、因预计负债所产生的损失、聘请中介机构费和应偿还的受赠资产等。</w:t>
      </w:r>
    </w:p>
    <w:p>
      <w:pPr>
        <w:pStyle w:val="9"/>
      </w:pPr>
      <w:r>
        <w:rPr>
          <w:rFonts w:hint="eastAsia"/>
        </w:rPr>
        <w:t>27.第27行“筹资费用”：填报民间非营利组织为筹集业务活动所需资金而发生的费用，包括民间非营利组织获得捐赠资产而发生的费用以及应当计入当期费用的借款费用、汇兑损失（减汇兑收益）等。民间非营利组织为了获得捐赠资产而发生的费用包括举办募款活动费，准备、印刷和发放募款宣传资料费以及其他与募款或者争取捐赠有关的费用。</w:t>
      </w:r>
    </w:p>
    <w:p>
      <w:pPr>
        <w:pStyle w:val="9"/>
        <w:rPr>
          <w:b/>
        </w:rPr>
      </w:pPr>
      <w:r>
        <w:rPr>
          <w:rFonts w:hint="eastAsia"/>
        </w:rPr>
        <w:t>28.第28行“其他费用”：填报民间非营利组织发生的、无法归属到上述业务活动成本、管理费用或者筹资费用中的费用，包括固定资产处置净损失、无形资产处置净损失等。</w:t>
      </w:r>
    </w:p>
    <w:p>
      <w:pPr>
        <w:pStyle w:val="11"/>
        <w:ind w:firstLine="482"/>
      </w:pPr>
      <w:r>
        <w:rPr>
          <w:rFonts w:hint="eastAsia"/>
        </w:rPr>
        <w:t>二、表内、表间关系</w:t>
      </w:r>
    </w:p>
    <w:p>
      <w:pPr>
        <w:pStyle w:val="12"/>
      </w:pPr>
      <w:r>
        <w:rPr>
          <w:rFonts w:hint="eastAsia"/>
        </w:rPr>
        <w:t>（一）表内关系</w:t>
      </w:r>
    </w:p>
    <w:p>
      <w:pPr>
        <w:pStyle w:val="9"/>
      </w:pPr>
      <w:r>
        <w:rPr>
          <w:rFonts w:hint="eastAsia"/>
        </w:rPr>
        <w:t>1.第1行＝第2+3+…+7行。</w:t>
      </w:r>
    </w:p>
    <w:p>
      <w:pPr>
        <w:pStyle w:val="9"/>
      </w:pPr>
      <w:r>
        <w:rPr>
          <w:rFonts w:hint="eastAsia"/>
        </w:rPr>
        <w:t>2.第7行＝第8+9行。</w:t>
      </w:r>
    </w:p>
    <w:p>
      <w:pPr>
        <w:pStyle w:val="9"/>
      </w:pPr>
      <w:r>
        <w:rPr>
          <w:rFonts w:hint="eastAsia"/>
        </w:rPr>
        <w:t>3.第10行＝第11+12+…+17行。</w:t>
      </w:r>
    </w:p>
    <w:p>
      <w:pPr>
        <w:pStyle w:val="9"/>
      </w:pPr>
      <w:r>
        <w:rPr>
          <w:rFonts w:hint="eastAsia"/>
        </w:rPr>
        <w:t>4.第18行＝第19+20+21+22+23行。</w:t>
      </w:r>
    </w:p>
    <w:p>
      <w:pPr>
        <w:pStyle w:val="9"/>
      </w:pPr>
      <w:r>
        <w:rPr>
          <w:rFonts w:hint="eastAsia"/>
        </w:rPr>
        <w:t>5.第24行＝第25+26+27+28行。</w:t>
      </w:r>
    </w:p>
    <w:p>
      <w:pPr>
        <w:pStyle w:val="12"/>
      </w:pPr>
      <w:r>
        <w:rPr>
          <w:rFonts w:hint="eastAsia"/>
        </w:rPr>
        <w:t>（二）表间关系</w:t>
      </w:r>
    </w:p>
    <w:p>
      <w:pPr>
        <w:pStyle w:val="9"/>
        <w:rPr>
          <w:color w:val="000000"/>
        </w:rPr>
      </w:pPr>
      <w:r>
        <w:rPr>
          <w:rFonts w:hint="eastAsia"/>
          <w:color w:val="000000"/>
        </w:rPr>
        <w:t>1.第2+3+4+5+6行或第11+12+13+14+15行＝表A100000第1行。</w:t>
      </w:r>
    </w:p>
    <w:p>
      <w:pPr>
        <w:pStyle w:val="9"/>
        <w:rPr>
          <w:color w:val="000000"/>
        </w:rPr>
      </w:pPr>
      <w:r>
        <w:rPr>
          <w:rFonts w:hint="eastAsia"/>
          <w:color w:val="000000"/>
        </w:rPr>
        <w:t>2.第8行或第16行＝表A100000第9行。</w:t>
      </w:r>
    </w:p>
    <w:p>
      <w:pPr>
        <w:pStyle w:val="9"/>
        <w:rPr>
          <w:color w:val="000000"/>
        </w:rPr>
      </w:pPr>
      <w:r>
        <w:rPr>
          <w:rFonts w:hint="eastAsia"/>
          <w:color w:val="000000"/>
        </w:rPr>
        <w:t>3.第9行或第17行＝表A100000第11行。</w:t>
      </w:r>
    </w:p>
    <w:p>
      <w:pPr>
        <w:pStyle w:val="9"/>
        <w:rPr>
          <w:color w:val="000000"/>
        </w:rPr>
      </w:pPr>
      <w:r>
        <w:rPr>
          <w:rFonts w:hint="eastAsia"/>
          <w:color w:val="000000"/>
        </w:rPr>
        <w:t>4.第19+20+21+22行或第25+26+27行＝表A100000第2行。</w:t>
      </w:r>
    </w:p>
    <w:p>
      <w:pPr>
        <w:pStyle w:val="9"/>
        <w:rPr>
          <w:color w:val="000000"/>
        </w:rPr>
      </w:pPr>
      <w:r>
        <w:rPr>
          <w:rFonts w:hint="eastAsia"/>
          <w:color w:val="000000"/>
        </w:rPr>
        <w:t>5.第23行或第28行＝表A100000第12行。</w:t>
      </w:r>
    </w:p>
    <w:p>
      <w:pPr>
        <w:pStyle w:val="9"/>
        <w:rPr>
          <w:color w:val="000000"/>
        </w:rPr>
        <w:sectPr>
          <w:pgSz w:w="11906" w:h="16838"/>
          <w:pgMar w:top="1985" w:right="1418" w:bottom="1928" w:left="1418" w:header="851" w:footer="992" w:gutter="113"/>
          <w:cols w:space="425" w:num="1"/>
          <w:docGrid w:linePitch="312" w:charSpace="0"/>
        </w:sectPr>
      </w:pPr>
    </w:p>
    <w:p>
      <w:pPr>
        <w:pStyle w:val="10"/>
      </w:pPr>
      <w:bookmarkStart w:id="39" w:name="_Toc499456567"/>
      <w:r>
        <w:rPr>
          <w:rFonts w:hint="eastAsia"/>
        </w:rPr>
        <w:t>A104000</w:t>
      </w:r>
      <w:r>
        <w:tab/>
      </w:r>
      <w:r>
        <w:rPr>
          <w:rFonts w:hint="eastAsia"/>
        </w:rPr>
        <w:t>期间费用明细表</w:t>
      </w:r>
      <w:bookmarkEnd w:id="39"/>
    </w:p>
    <w:tbl>
      <w:tblPr>
        <w:tblStyle w:val="7"/>
        <w:tblW w:w="100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6"/>
        <w:gridCol w:w="3193"/>
        <w:gridCol w:w="1027"/>
        <w:gridCol w:w="1147"/>
        <w:gridCol w:w="1066"/>
        <w:gridCol w:w="1025"/>
        <w:gridCol w:w="1146"/>
        <w:gridCol w:w="10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416"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3193"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        目</w:t>
            </w:r>
          </w:p>
        </w:tc>
        <w:tc>
          <w:tcPr>
            <w:tcW w:w="102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销售费用</w:t>
            </w:r>
          </w:p>
        </w:tc>
        <w:tc>
          <w:tcPr>
            <w:tcW w:w="114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其中：</w:t>
            </w:r>
          </w:p>
          <w:p>
            <w:pPr>
              <w:widowControl/>
              <w:jc w:val="left"/>
              <w:rPr>
                <w:rFonts w:ascii="宋体" w:hAnsi="宋体" w:cs="宋体"/>
                <w:kern w:val="0"/>
                <w:sz w:val="20"/>
                <w:szCs w:val="20"/>
              </w:rPr>
            </w:pPr>
            <w:r>
              <w:rPr>
                <w:rFonts w:hint="eastAsia" w:ascii="宋体" w:hAnsi="宋体" w:cs="宋体"/>
                <w:kern w:val="0"/>
                <w:sz w:val="20"/>
                <w:szCs w:val="20"/>
              </w:rPr>
              <w:t>境外支付</w:t>
            </w:r>
          </w:p>
        </w:tc>
        <w:tc>
          <w:tcPr>
            <w:tcW w:w="106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管理费用</w:t>
            </w:r>
          </w:p>
        </w:tc>
        <w:tc>
          <w:tcPr>
            <w:tcW w:w="102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其中：</w:t>
            </w:r>
          </w:p>
          <w:p>
            <w:pPr>
              <w:widowControl/>
              <w:jc w:val="left"/>
              <w:rPr>
                <w:rFonts w:ascii="宋体" w:hAnsi="宋体" w:cs="宋体"/>
                <w:kern w:val="0"/>
                <w:sz w:val="20"/>
                <w:szCs w:val="20"/>
              </w:rPr>
            </w:pPr>
            <w:r>
              <w:rPr>
                <w:rFonts w:hint="eastAsia" w:ascii="宋体" w:hAnsi="宋体" w:cs="宋体"/>
                <w:kern w:val="0"/>
                <w:sz w:val="20"/>
                <w:szCs w:val="20"/>
              </w:rPr>
              <w:t>境外支付</w:t>
            </w: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财务费用</w:t>
            </w:r>
          </w:p>
        </w:tc>
        <w:tc>
          <w:tcPr>
            <w:tcW w:w="106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其中：</w:t>
            </w:r>
          </w:p>
          <w:p>
            <w:pPr>
              <w:widowControl/>
              <w:jc w:val="left"/>
              <w:rPr>
                <w:rFonts w:ascii="宋体" w:hAnsi="宋体" w:cs="宋体"/>
                <w:kern w:val="0"/>
                <w:sz w:val="20"/>
                <w:szCs w:val="20"/>
              </w:rPr>
            </w:pPr>
            <w:r>
              <w:rPr>
                <w:rFonts w:hint="eastAsia" w:ascii="宋体" w:hAnsi="宋体" w:cs="宋体"/>
                <w:kern w:val="0"/>
                <w:sz w:val="20"/>
                <w:szCs w:val="20"/>
              </w:rPr>
              <w:t>境外支付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416" w:type="dxa"/>
            <w:vMerge w:val="continue"/>
            <w:shd w:val="clear" w:color="auto" w:fill="auto"/>
            <w:vAlign w:val="center"/>
          </w:tcPr>
          <w:p>
            <w:pPr>
              <w:widowControl/>
              <w:jc w:val="left"/>
              <w:rPr>
                <w:rFonts w:ascii="宋体" w:hAnsi="宋体" w:cs="宋体"/>
                <w:kern w:val="0"/>
                <w:sz w:val="20"/>
                <w:szCs w:val="20"/>
              </w:rPr>
            </w:pPr>
          </w:p>
        </w:tc>
        <w:tc>
          <w:tcPr>
            <w:tcW w:w="3193" w:type="dxa"/>
            <w:vMerge w:val="continue"/>
            <w:shd w:val="clear" w:color="auto" w:fill="auto"/>
            <w:vAlign w:val="center"/>
          </w:tcPr>
          <w:p>
            <w:pPr>
              <w:widowControl/>
              <w:jc w:val="left"/>
              <w:rPr>
                <w:rFonts w:ascii="宋体" w:hAnsi="宋体" w:cs="宋体"/>
                <w:kern w:val="0"/>
                <w:sz w:val="20"/>
                <w:szCs w:val="20"/>
              </w:rPr>
            </w:pPr>
          </w:p>
        </w:tc>
        <w:tc>
          <w:tcPr>
            <w:tcW w:w="102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4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2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06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一、职工薪酬</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vAlign w:val="center"/>
          </w:tcPr>
          <w:p>
            <w:pPr>
              <w:widowControl/>
              <w:jc w:val="center"/>
              <w:rPr>
                <w:rFonts w:ascii="宋体" w:hAnsi="宋体" w:cs="宋体"/>
                <w:kern w:val="0"/>
                <w:sz w:val="20"/>
                <w:szCs w:val="20"/>
              </w:rPr>
            </w:pPr>
          </w:p>
        </w:tc>
        <w:tc>
          <w:tcPr>
            <w:tcW w:w="102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二、劳务费</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auto" w:fill="auto"/>
            <w:vAlign w:val="center"/>
          </w:tcPr>
          <w:p>
            <w:pPr>
              <w:widowControl/>
              <w:jc w:val="center"/>
              <w:rPr>
                <w:rFonts w:ascii="宋体" w:hAnsi="宋体" w:cs="宋体"/>
                <w:kern w:val="0"/>
                <w:sz w:val="20"/>
                <w:szCs w:val="20"/>
              </w:rPr>
            </w:pPr>
          </w:p>
        </w:tc>
        <w:tc>
          <w:tcPr>
            <w:tcW w:w="1066" w:type="dxa"/>
            <w:shd w:val="clear" w:color="auto" w:fill="auto"/>
            <w:vAlign w:val="center"/>
          </w:tcPr>
          <w:p>
            <w:pPr>
              <w:widowControl/>
              <w:jc w:val="center"/>
              <w:rPr>
                <w:rFonts w:ascii="宋体" w:hAnsi="宋体" w:cs="宋体"/>
                <w:kern w:val="0"/>
                <w:sz w:val="20"/>
                <w:szCs w:val="20"/>
              </w:rPr>
            </w:pPr>
          </w:p>
        </w:tc>
        <w:tc>
          <w:tcPr>
            <w:tcW w:w="1025" w:type="dxa"/>
            <w:shd w:val="clear" w:color="auto" w:fill="auto"/>
            <w:vAlign w:val="center"/>
          </w:tcPr>
          <w:p>
            <w:pPr>
              <w:widowControl/>
              <w:jc w:val="center"/>
              <w:rPr>
                <w:rFonts w:ascii="宋体" w:hAnsi="宋体" w:cs="宋体"/>
                <w:kern w:val="0"/>
                <w:sz w:val="20"/>
                <w:szCs w:val="20"/>
              </w:rPr>
            </w:pP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三、咨询顾问费</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auto" w:fill="auto"/>
            <w:vAlign w:val="center"/>
          </w:tcPr>
          <w:p>
            <w:pPr>
              <w:widowControl/>
              <w:jc w:val="center"/>
              <w:rPr>
                <w:rFonts w:ascii="宋体" w:hAnsi="宋体" w:cs="宋体"/>
                <w:kern w:val="0"/>
                <w:sz w:val="20"/>
                <w:szCs w:val="20"/>
              </w:rPr>
            </w:pPr>
          </w:p>
        </w:tc>
        <w:tc>
          <w:tcPr>
            <w:tcW w:w="1066" w:type="dxa"/>
            <w:shd w:val="clear" w:color="auto" w:fill="auto"/>
            <w:vAlign w:val="center"/>
          </w:tcPr>
          <w:p>
            <w:pPr>
              <w:widowControl/>
              <w:jc w:val="center"/>
              <w:rPr>
                <w:rFonts w:ascii="宋体" w:hAnsi="宋体" w:cs="宋体"/>
                <w:kern w:val="0"/>
                <w:sz w:val="20"/>
                <w:szCs w:val="20"/>
              </w:rPr>
            </w:pPr>
          </w:p>
        </w:tc>
        <w:tc>
          <w:tcPr>
            <w:tcW w:w="1025" w:type="dxa"/>
            <w:shd w:val="clear" w:color="auto" w:fill="auto"/>
            <w:vAlign w:val="center"/>
          </w:tcPr>
          <w:p>
            <w:pPr>
              <w:widowControl/>
              <w:jc w:val="center"/>
              <w:rPr>
                <w:rFonts w:ascii="宋体" w:hAnsi="宋体" w:cs="宋体"/>
                <w:kern w:val="0"/>
                <w:sz w:val="20"/>
                <w:szCs w:val="20"/>
              </w:rPr>
            </w:pP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四、业务招待费</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vAlign w:val="center"/>
          </w:tcPr>
          <w:p>
            <w:pPr>
              <w:widowControl/>
              <w:jc w:val="center"/>
              <w:rPr>
                <w:rFonts w:ascii="宋体" w:hAnsi="宋体" w:cs="宋体"/>
                <w:kern w:val="0"/>
                <w:sz w:val="20"/>
                <w:szCs w:val="20"/>
              </w:rPr>
            </w:pPr>
          </w:p>
        </w:tc>
        <w:tc>
          <w:tcPr>
            <w:tcW w:w="102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五、广告费和业务宣传费</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vAlign w:val="center"/>
          </w:tcPr>
          <w:p>
            <w:pPr>
              <w:widowControl/>
              <w:jc w:val="center"/>
              <w:rPr>
                <w:rFonts w:ascii="宋体" w:hAnsi="宋体" w:cs="宋体"/>
                <w:kern w:val="0"/>
                <w:sz w:val="20"/>
                <w:szCs w:val="20"/>
              </w:rPr>
            </w:pPr>
          </w:p>
        </w:tc>
        <w:tc>
          <w:tcPr>
            <w:tcW w:w="102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六、佣金和手续费</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auto" w:fill="auto"/>
            <w:vAlign w:val="center"/>
          </w:tcPr>
          <w:p>
            <w:pPr>
              <w:widowControl/>
              <w:jc w:val="center"/>
              <w:rPr>
                <w:rFonts w:ascii="宋体" w:hAnsi="宋体" w:cs="宋体"/>
                <w:kern w:val="0"/>
                <w:sz w:val="20"/>
                <w:szCs w:val="20"/>
              </w:rPr>
            </w:pPr>
          </w:p>
        </w:tc>
        <w:tc>
          <w:tcPr>
            <w:tcW w:w="1066" w:type="dxa"/>
            <w:shd w:val="clear" w:color="auto" w:fill="auto"/>
            <w:vAlign w:val="center"/>
          </w:tcPr>
          <w:p>
            <w:pPr>
              <w:widowControl/>
              <w:jc w:val="center"/>
              <w:rPr>
                <w:rFonts w:ascii="宋体" w:hAnsi="宋体" w:cs="宋体"/>
                <w:kern w:val="0"/>
                <w:sz w:val="20"/>
                <w:szCs w:val="20"/>
              </w:rPr>
            </w:pPr>
          </w:p>
        </w:tc>
        <w:tc>
          <w:tcPr>
            <w:tcW w:w="1025" w:type="dxa"/>
            <w:shd w:val="clear" w:color="auto" w:fill="auto"/>
            <w:vAlign w:val="center"/>
          </w:tcPr>
          <w:p>
            <w:pPr>
              <w:widowControl/>
              <w:jc w:val="center"/>
              <w:rPr>
                <w:rFonts w:ascii="宋体" w:hAnsi="宋体" w:cs="宋体"/>
                <w:kern w:val="0"/>
                <w:sz w:val="20"/>
                <w:szCs w:val="20"/>
              </w:rPr>
            </w:pPr>
          </w:p>
        </w:tc>
        <w:tc>
          <w:tcPr>
            <w:tcW w:w="1146" w:type="dxa"/>
            <w:shd w:val="clear" w:color="auto" w:fill="auto"/>
            <w:vAlign w:val="center"/>
          </w:tcPr>
          <w:p>
            <w:pPr>
              <w:widowControl/>
              <w:jc w:val="center"/>
              <w:rPr>
                <w:rFonts w:ascii="宋体" w:hAnsi="宋体" w:cs="宋体"/>
                <w:kern w:val="0"/>
                <w:sz w:val="20"/>
                <w:szCs w:val="20"/>
              </w:rPr>
            </w:pPr>
          </w:p>
        </w:tc>
        <w:tc>
          <w:tcPr>
            <w:tcW w:w="1065"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七、资产折旧摊销费</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vAlign w:val="center"/>
          </w:tcPr>
          <w:p>
            <w:pPr>
              <w:widowControl/>
              <w:jc w:val="center"/>
              <w:rPr>
                <w:rFonts w:ascii="宋体" w:hAnsi="宋体" w:cs="宋体"/>
                <w:kern w:val="0"/>
                <w:sz w:val="20"/>
                <w:szCs w:val="20"/>
              </w:rPr>
            </w:pPr>
          </w:p>
        </w:tc>
        <w:tc>
          <w:tcPr>
            <w:tcW w:w="102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八、财产损耗、盘亏及毁损损失</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vAlign w:val="center"/>
          </w:tcPr>
          <w:p>
            <w:pPr>
              <w:widowControl/>
              <w:jc w:val="center"/>
              <w:rPr>
                <w:rFonts w:ascii="宋体" w:hAnsi="宋体" w:cs="宋体"/>
                <w:kern w:val="0"/>
                <w:sz w:val="20"/>
                <w:szCs w:val="20"/>
              </w:rPr>
            </w:pPr>
          </w:p>
        </w:tc>
        <w:tc>
          <w:tcPr>
            <w:tcW w:w="102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九、办公费</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vAlign w:val="center"/>
          </w:tcPr>
          <w:p>
            <w:pPr>
              <w:widowControl/>
              <w:jc w:val="center"/>
              <w:rPr>
                <w:rFonts w:ascii="宋体" w:hAnsi="宋体" w:cs="宋体"/>
                <w:kern w:val="0"/>
                <w:sz w:val="20"/>
                <w:szCs w:val="20"/>
              </w:rPr>
            </w:pPr>
          </w:p>
        </w:tc>
        <w:tc>
          <w:tcPr>
            <w:tcW w:w="102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十、董事会费</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vAlign w:val="center"/>
          </w:tcPr>
          <w:p>
            <w:pPr>
              <w:widowControl/>
              <w:jc w:val="center"/>
              <w:rPr>
                <w:rFonts w:ascii="宋体" w:hAnsi="宋体" w:cs="宋体"/>
                <w:kern w:val="0"/>
                <w:sz w:val="20"/>
                <w:szCs w:val="20"/>
              </w:rPr>
            </w:pPr>
          </w:p>
        </w:tc>
        <w:tc>
          <w:tcPr>
            <w:tcW w:w="102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十一、租赁费</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auto" w:fill="auto"/>
            <w:vAlign w:val="center"/>
          </w:tcPr>
          <w:p>
            <w:pPr>
              <w:widowControl/>
              <w:jc w:val="center"/>
              <w:rPr>
                <w:rFonts w:ascii="宋体" w:hAnsi="宋体" w:cs="宋体"/>
                <w:kern w:val="0"/>
                <w:sz w:val="20"/>
                <w:szCs w:val="20"/>
              </w:rPr>
            </w:pPr>
          </w:p>
        </w:tc>
        <w:tc>
          <w:tcPr>
            <w:tcW w:w="1066" w:type="dxa"/>
            <w:shd w:val="clear" w:color="auto" w:fill="auto"/>
            <w:vAlign w:val="center"/>
          </w:tcPr>
          <w:p>
            <w:pPr>
              <w:widowControl/>
              <w:jc w:val="center"/>
              <w:rPr>
                <w:rFonts w:ascii="宋体" w:hAnsi="宋体" w:cs="宋体"/>
                <w:kern w:val="0"/>
                <w:sz w:val="20"/>
                <w:szCs w:val="20"/>
              </w:rPr>
            </w:pPr>
          </w:p>
        </w:tc>
        <w:tc>
          <w:tcPr>
            <w:tcW w:w="1025" w:type="dxa"/>
            <w:shd w:val="clear" w:color="auto" w:fill="auto"/>
            <w:vAlign w:val="center"/>
          </w:tcPr>
          <w:p>
            <w:pPr>
              <w:widowControl/>
              <w:jc w:val="center"/>
              <w:rPr>
                <w:rFonts w:ascii="宋体" w:hAnsi="宋体" w:cs="宋体"/>
                <w:kern w:val="0"/>
                <w:sz w:val="20"/>
                <w:szCs w:val="20"/>
              </w:rPr>
            </w:pP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十二、诉讼费</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vAlign w:val="center"/>
          </w:tcPr>
          <w:p>
            <w:pPr>
              <w:widowControl/>
              <w:jc w:val="center"/>
              <w:rPr>
                <w:rFonts w:ascii="宋体" w:hAnsi="宋体" w:cs="宋体"/>
                <w:kern w:val="0"/>
                <w:sz w:val="20"/>
                <w:szCs w:val="20"/>
              </w:rPr>
            </w:pPr>
          </w:p>
        </w:tc>
        <w:tc>
          <w:tcPr>
            <w:tcW w:w="102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十三、差旅费</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vAlign w:val="center"/>
          </w:tcPr>
          <w:p>
            <w:pPr>
              <w:widowControl/>
              <w:jc w:val="center"/>
              <w:rPr>
                <w:rFonts w:ascii="宋体" w:hAnsi="宋体" w:cs="宋体"/>
                <w:kern w:val="0"/>
                <w:sz w:val="20"/>
                <w:szCs w:val="20"/>
              </w:rPr>
            </w:pPr>
          </w:p>
        </w:tc>
        <w:tc>
          <w:tcPr>
            <w:tcW w:w="102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十四、保险费</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vAlign w:val="center"/>
          </w:tcPr>
          <w:p>
            <w:pPr>
              <w:widowControl/>
              <w:jc w:val="center"/>
              <w:rPr>
                <w:rFonts w:ascii="宋体" w:hAnsi="宋体" w:cs="宋体"/>
                <w:kern w:val="0"/>
                <w:sz w:val="20"/>
                <w:szCs w:val="20"/>
              </w:rPr>
            </w:pPr>
          </w:p>
        </w:tc>
        <w:tc>
          <w:tcPr>
            <w:tcW w:w="102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十五、运输、仓储费</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auto" w:fill="auto"/>
            <w:vAlign w:val="center"/>
          </w:tcPr>
          <w:p>
            <w:pPr>
              <w:widowControl/>
              <w:jc w:val="center"/>
              <w:rPr>
                <w:rFonts w:ascii="宋体" w:hAnsi="宋体" w:cs="宋体"/>
                <w:kern w:val="0"/>
                <w:sz w:val="20"/>
                <w:szCs w:val="20"/>
              </w:rPr>
            </w:pPr>
          </w:p>
        </w:tc>
        <w:tc>
          <w:tcPr>
            <w:tcW w:w="1066" w:type="dxa"/>
            <w:shd w:val="clear" w:color="auto" w:fill="auto"/>
            <w:vAlign w:val="center"/>
          </w:tcPr>
          <w:p>
            <w:pPr>
              <w:widowControl/>
              <w:jc w:val="center"/>
              <w:rPr>
                <w:rFonts w:ascii="宋体" w:hAnsi="宋体" w:cs="宋体"/>
                <w:kern w:val="0"/>
                <w:sz w:val="20"/>
                <w:szCs w:val="20"/>
              </w:rPr>
            </w:pPr>
          </w:p>
        </w:tc>
        <w:tc>
          <w:tcPr>
            <w:tcW w:w="1025" w:type="dxa"/>
            <w:shd w:val="clear" w:color="auto" w:fill="auto"/>
            <w:vAlign w:val="center"/>
          </w:tcPr>
          <w:p>
            <w:pPr>
              <w:widowControl/>
              <w:jc w:val="center"/>
              <w:rPr>
                <w:rFonts w:ascii="宋体" w:hAnsi="宋体" w:cs="宋体"/>
                <w:kern w:val="0"/>
                <w:sz w:val="20"/>
                <w:szCs w:val="20"/>
              </w:rPr>
            </w:pP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十六、修理费</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auto" w:fill="auto"/>
            <w:vAlign w:val="center"/>
          </w:tcPr>
          <w:p>
            <w:pPr>
              <w:widowControl/>
              <w:jc w:val="center"/>
              <w:rPr>
                <w:rFonts w:ascii="宋体" w:hAnsi="宋体" w:cs="宋体"/>
                <w:kern w:val="0"/>
                <w:sz w:val="20"/>
                <w:szCs w:val="20"/>
              </w:rPr>
            </w:pPr>
          </w:p>
        </w:tc>
        <w:tc>
          <w:tcPr>
            <w:tcW w:w="1066" w:type="dxa"/>
            <w:shd w:val="clear" w:color="auto" w:fill="auto"/>
            <w:vAlign w:val="center"/>
          </w:tcPr>
          <w:p>
            <w:pPr>
              <w:widowControl/>
              <w:jc w:val="center"/>
              <w:rPr>
                <w:rFonts w:ascii="宋体" w:hAnsi="宋体" w:cs="宋体"/>
                <w:kern w:val="0"/>
                <w:sz w:val="20"/>
                <w:szCs w:val="20"/>
              </w:rPr>
            </w:pPr>
          </w:p>
        </w:tc>
        <w:tc>
          <w:tcPr>
            <w:tcW w:w="1025" w:type="dxa"/>
            <w:shd w:val="clear" w:color="auto" w:fill="auto"/>
            <w:vAlign w:val="center"/>
          </w:tcPr>
          <w:p>
            <w:pPr>
              <w:widowControl/>
              <w:jc w:val="center"/>
              <w:rPr>
                <w:rFonts w:ascii="宋体" w:hAnsi="宋体" w:cs="宋体"/>
                <w:kern w:val="0"/>
                <w:sz w:val="20"/>
                <w:szCs w:val="20"/>
              </w:rPr>
            </w:pP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十七、包装费</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vAlign w:val="center"/>
          </w:tcPr>
          <w:p>
            <w:pPr>
              <w:widowControl/>
              <w:jc w:val="center"/>
              <w:rPr>
                <w:rFonts w:ascii="宋体" w:hAnsi="宋体" w:cs="宋体"/>
                <w:kern w:val="0"/>
                <w:sz w:val="20"/>
                <w:szCs w:val="20"/>
              </w:rPr>
            </w:pPr>
          </w:p>
        </w:tc>
        <w:tc>
          <w:tcPr>
            <w:tcW w:w="102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十八、技术转让费</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auto" w:fill="auto"/>
            <w:vAlign w:val="center"/>
          </w:tcPr>
          <w:p>
            <w:pPr>
              <w:widowControl/>
              <w:jc w:val="center"/>
              <w:rPr>
                <w:rFonts w:ascii="宋体" w:hAnsi="宋体" w:cs="宋体"/>
                <w:kern w:val="0"/>
                <w:sz w:val="20"/>
                <w:szCs w:val="20"/>
              </w:rPr>
            </w:pPr>
          </w:p>
        </w:tc>
        <w:tc>
          <w:tcPr>
            <w:tcW w:w="1066" w:type="dxa"/>
            <w:shd w:val="clear" w:color="auto" w:fill="auto"/>
            <w:vAlign w:val="center"/>
          </w:tcPr>
          <w:p>
            <w:pPr>
              <w:widowControl/>
              <w:jc w:val="center"/>
              <w:rPr>
                <w:rFonts w:ascii="宋体" w:hAnsi="宋体" w:cs="宋体"/>
                <w:kern w:val="0"/>
                <w:sz w:val="20"/>
                <w:szCs w:val="20"/>
              </w:rPr>
            </w:pPr>
          </w:p>
        </w:tc>
        <w:tc>
          <w:tcPr>
            <w:tcW w:w="1025" w:type="dxa"/>
            <w:shd w:val="clear" w:color="auto" w:fill="auto"/>
            <w:vAlign w:val="center"/>
          </w:tcPr>
          <w:p>
            <w:pPr>
              <w:widowControl/>
              <w:jc w:val="center"/>
              <w:rPr>
                <w:rFonts w:ascii="宋体" w:hAnsi="宋体" w:cs="宋体"/>
                <w:kern w:val="0"/>
                <w:sz w:val="20"/>
                <w:szCs w:val="20"/>
              </w:rPr>
            </w:pP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十九、研究费用</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auto" w:fill="auto"/>
            <w:vAlign w:val="center"/>
          </w:tcPr>
          <w:p>
            <w:pPr>
              <w:widowControl/>
              <w:jc w:val="center"/>
              <w:rPr>
                <w:rFonts w:ascii="宋体" w:hAnsi="宋体" w:cs="宋体"/>
                <w:kern w:val="0"/>
                <w:sz w:val="20"/>
                <w:szCs w:val="20"/>
              </w:rPr>
            </w:pPr>
          </w:p>
        </w:tc>
        <w:tc>
          <w:tcPr>
            <w:tcW w:w="1066" w:type="dxa"/>
            <w:shd w:val="clear" w:color="auto" w:fill="auto"/>
            <w:vAlign w:val="center"/>
          </w:tcPr>
          <w:p>
            <w:pPr>
              <w:widowControl/>
              <w:jc w:val="center"/>
              <w:rPr>
                <w:rFonts w:ascii="宋体" w:hAnsi="宋体" w:cs="宋体"/>
                <w:kern w:val="0"/>
                <w:sz w:val="20"/>
                <w:szCs w:val="20"/>
              </w:rPr>
            </w:pPr>
          </w:p>
        </w:tc>
        <w:tc>
          <w:tcPr>
            <w:tcW w:w="1025" w:type="dxa"/>
            <w:shd w:val="clear" w:color="auto" w:fill="auto"/>
            <w:vAlign w:val="center"/>
          </w:tcPr>
          <w:p>
            <w:pPr>
              <w:widowControl/>
              <w:jc w:val="center"/>
              <w:rPr>
                <w:rFonts w:ascii="宋体" w:hAnsi="宋体" w:cs="宋体"/>
                <w:kern w:val="0"/>
                <w:sz w:val="20"/>
                <w:szCs w:val="20"/>
              </w:rPr>
            </w:pP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二十、各项税费</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vAlign w:val="center"/>
          </w:tcPr>
          <w:p>
            <w:pPr>
              <w:widowControl/>
              <w:jc w:val="center"/>
              <w:rPr>
                <w:rFonts w:ascii="宋体" w:hAnsi="宋体" w:cs="宋体"/>
                <w:kern w:val="0"/>
                <w:sz w:val="20"/>
                <w:szCs w:val="20"/>
              </w:rPr>
            </w:pPr>
          </w:p>
        </w:tc>
        <w:tc>
          <w:tcPr>
            <w:tcW w:w="102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二十一、利息收支</w:t>
            </w:r>
          </w:p>
        </w:tc>
        <w:tc>
          <w:tcPr>
            <w:tcW w:w="102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4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vAlign w:val="center"/>
          </w:tcPr>
          <w:p>
            <w:pPr>
              <w:widowControl/>
              <w:jc w:val="center"/>
              <w:rPr>
                <w:rFonts w:ascii="宋体" w:hAnsi="宋体" w:cs="宋体"/>
                <w:kern w:val="0"/>
                <w:sz w:val="20"/>
                <w:szCs w:val="20"/>
              </w:rPr>
            </w:pPr>
          </w:p>
        </w:tc>
        <w:tc>
          <w:tcPr>
            <w:tcW w:w="1065"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二十二、汇兑差额</w:t>
            </w:r>
          </w:p>
        </w:tc>
        <w:tc>
          <w:tcPr>
            <w:tcW w:w="102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4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vAlign w:val="center"/>
          </w:tcPr>
          <w:p>
            <w:pPr>
              <w:widowControl/>
              <w:jc w:val="center"/>
              <w:rPr>
                <w:rFonts w:ascii="宋体" w:hAnsi="宋体" w:cs="宋体"/>
                <w:kern w:val="0"/>
                <w:sz w:val="20"/>
                <w:szCs w:val="20"/>
              </w:rPr>
            </w:pPr>
          </w:p>
        </w:tc>
        <w:tc>
          <w:tcPr>
            <w:tcW w:w="1065"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二十三、现金折扣</w:t>
            </w:r>
          </w:p>
        </w:tc>
        <w:tc>
          <w:tcPr>
            <w:tcW w:w="102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4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000000" w:fill="FFFFFF"/>
            <w:vAlign w:val="center"/>
          </w:tcPr>
          <w:p>
            <w:pPr>
              <w:widowControl/>
              <w:jc w:val="center"/>
              <w:rPr>
                <w:rFonts w:ascii="宋体" w:hAnsi="宋体" w:cs="宋体"/>
                <w:kern w:val="0"/>
                <w:sz w:val="20"/>
                <w:szCs w:val="20"/>
              </w:rPr>
            </w:pPr>
          </w:p>
        </w:tc>
        <w:tc>
          <w:tcPr>
            <w:tcW w:w="1065"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二十四、党组织工作经费</w:t>
            </w:r>
          </w:p>
        </w:tc>
        <w:tc>
          <w:tcPr>
            <w:tcW w:w="1027"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4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6" w:type="dxa"/>
            <w:shd w:val="clear" w:color="000000" w:fill="FFFFFF"/>
            <w:vAlign w:val="center"/>
          </w:tcPr>
          <w:p>
            <w:pPr>
              <w:widowControl/>
              <w:jc w:val="center"/>
              <w:rPr>
                <w:rFonts w:ascii="宋体" w:hAnsi="宋体" w:cs="宋体"/>
                <w:kern w:val="0"/>
                <w:sz w:val="20"/>
                <w:szCs w:val="20"/>
              </w:rPr>
            </w:pPr>
          </w:p>
        </w:tc>
        <w:tc>
          <w:tcPr>
            <w:tcW w:w="1025"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4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5"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二十五、其他</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auto" w:fill="auto"/>
            <w:vAlign w:val="center"/>
          </w:tcPr>
          <w:p>
            <w:pPr>
              <w:widowControl/>
              <w:jc w:val="center"/>
              <w:rPr>
                <w:rFonts w:ascii="宋体" w:hAnsi="宋体" w:cs="宋体"/>
                <w:kern w:val="0"/>
                <w:sz w:val="20"/>
                <w:szCs w:val="20"/>
              </w:rPr>
            </w:pPr>
          </w:p>
        </w:tc>
        <w:tc>
          <w:tcPr>
            <w:tcW w:w="1066" w:type="dxa"/>
            <w:shd w:val="clear" w:color="000000" w:fill="FFFFFF"/>
            <w:vAlign w:val="center"/>
          </w:tcPr>
          <w:p>
            <w:pPr>
              <w:widowControl/>
              <w:jc w:val="center"/>
              <w:rPr>
                <w:rFonts w:ascii="宋体" w:hAnsi="宋体" w:cs="宋体"/>
                <w:kern w:val="0"/>
                <w:sz w:val="20"/>
                <w:szCs w:val="20"/>
              </w:rPr>
            </w:pPr>
          </w:p>
        </w:tc>
        <w:tc>
          <w:tcPr>
            <w:tcW w:w="1025" w:type="dxa"/>
            <w:shd w:val="clear" w:color="auto" w:fill="auto"/>
            <w:vAlign w:val="center"/>
          </w:tcPr>
          <w:p>
            <w:pPr>
              <w:widowControl/>
              <w:jc w:val="center"/>
              <w:rPr>
                <w:rFonts w:ascii="宋体" w:hAnsi="宋体" w:cs="宋体"/>
                <w:kern w:val="0"/>
                <w:sz w:val="20"/>
                <w:szCs w:val="20"/>
              </w:rPr>
            </w:pPr>
          </w:p>
        </w:tc>
        <w:tc>
          <w:tcPr>
            <w:tcW w:w="1146" w:type="dxa"/>
            <w:shd w:val="clear" w:color="000000" w:fill="FFFFFF"/>
            <w:vAlign w:val="center"/>
          </w:tcPr>
          <w:p>
            <w:pPr>
              <w:widowControl/>
              <w:jc w:val="center"/>
              <w:rPr>
                <w:rFonts w:ascii="宋体" w:hAnsi="宋体" w:cs="宋体"/>
                <w:kern w:val="0"/>
                <w:sz w:val="20"/>
                <w:szCs w:val="20"/>
              </w:rPr>
            </w:pPr>
          </w:p>
        </w:tc>
        <w:tc>
          <w:tcPr>
            <w:tcW w:w="1065" w:type="dxa"/>
            <w:shd w:val="clear" w:color="000000" w:fill="FFFFFF"/>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3193"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合计(1+2+3+…25)</w:t>
            </w:r>
          </w:p>
        </w:tc>
        <w:tc>
          <w:tcPr>
            <w:tcW w:w="1027" w:type="dxa"/>
            <w:shd w:val="clear" w:color="000000" w:fill="FFFFFF"/>
            <w:vAlign w:val="center"/>
          </w:tcPr>
          <w:p>
            <w:pPr>
              <w:widowControl/>
              <w:jc w:val="center"/>
              <w:rPr>
                <w:rFonts w:ascii="宋体" w:hAnsi="宋体" w:cs="宋体"/>
                <w:kern w:val="0"/>
                <w:sz w:val="20"/>
                <w:szCs w:val="20"/>
              </w:rPr>
            </w:pPr>
          </w:p>
        </w:tc>
        <w:tc>
          <w:tcPr>
            <w:tcW w:w="1147" w:type="dxa"/>
            <w:shd w:val="clear" w:color="000000" w:fill="FFFFFF"/>
            <w:vAlign w:val="center"/>
          </w:tcPr>
          <w:p>
            <w:pPr>
              <w:widowControl/>
              <w:jc w:val="center"/>
              <w:rPr>
                <w:rFonts w:ascii="宋体" w:hAnsi="宋体" w:cs="宋体"/>
                <w:kern w:val="0"/>
                <w:sz w:val="20"/>
                <w:szCs w:val="20"/>
              </w:rPr>
            </w:pPr>
          </w:p>
        </w:tc>
        <w:tc>
          <w:tcPr>
            <w:tcW w:w="1066" w:type="dxa"/>
            <w:shd w:val="clear" w:color="000000" w:fill="FFFFFF"/>
            <w:vAlign w:val="center"/>
          </w:tcPr>
          <w:p>
            <w:pPr>
              <w:widowControl/>
              <w:jc w:val="center"/>
              <w:rPr>
                <w:rFonts w:ascii="宋体" w:hAnsi="宋体" w:cs="宋体"/>
                <w:kern w:val="0"/>
                <w:sz w:val="20"/>
                <w:szCs w:val="20"/>
              </w:rPr>
            </w:pPr>
          </w:p>
        </w:tc>
        <w:tc>
          <w:tcPr>
            <w:tcW w:w="1025" w:type="dxa"/>
            <w:shd w:val="clear" w:color="000000" w:fill="FFFFFF"/>
            <w:vAlign w:val="center"/>
          </w:tcPr>
          <w:p>
            <w:pPr>
              <w:widowControl/>
              <w:jc w:val="center"/>
              <w:rPr>
                <w:rFonts w:ascii="宋体" w:hAnsi="宋体" w:cs="宋体"/>
                <w:kern w:val="0"/>
                <w:sz w:val="20"/>
                <w:szCs w:val="20"/>
              </w:rPr>
            </w:pPr>
          </w:p>
        </w:tc>
        <w:tc>
          <w:tcPr>
            <w:tcW w:w="1146" w:type="dxa"/>
            <w:shd w:val="clear" w:color="000000" w:fill="FFFFFF"/>
            <w:vAlign w:val="center"/>
          </w:tcPr>
          <w:p>
            <w:pPr>
              <w:widowControl/>
              <w:jc w:val="center"/>
              <w:rPr>
                <w:rFonts w:ascii="宋体" w:hAnsi="宋体" w:cs="宋体"/>
                <w:kern w:val="0"/>
                <w:sz w:val="20"/>
                <w:szCs w:val="20"/>
              </w:rPr>
            </w:pPr>
          </w:p>
        </w:tc>
        <w:tc>
          <w:tcPr>
            <w:tcW w:w="1065" w:type="dxa"/>
            <w:shd w:val="clear" w:color="000000" w:fill="FFFFFF"/>
            <w:vAlign w:val="center"/>
          </w:tcPr>
          <w:p>
            <w:pPr>
              <w:widowControl/>
              <w:jc w:val="center"/>
              <w:rPr>
                <w:rFonts w:ascii="宋体" w:hAnsi="宋体" w:cs="宋体"/>
                <w:kern w:val="0"/>
                <w:sz w:val="20"/>
                <w:szCs w:val="20"/>
              </w:rPr>
            </w:pPr>
          </w:p>
        </w:tc>
      </w:tr>
    </w:tbl>
    <w:p>
      <w:pPr>
        <w:pStyle w:val="9"/>
      </w:pPr>
    </w:p>
    <w:p>
      <w:pPr>
        <w:tabs>
          <w:tab w:val="left" w:pos="2640"/>
        </w:tabs>
        <w:sectPr>
          <w:pgSz w:w="11906" w:h="16838"/>
          <w:pgMar w:top="1985" w:right="1418" w:bottom="1928" w:left="1418" w:header="851" w:footer="992" w:gutter="113"/>
          <w:cols w:space="425" w:num="1"/>
          <w:docGrid w:linePitch="312" w:charSpace="0"/>
        </w:sectPr>
      </w:pPr>
    </w:p>
    <w:bookmarkEnd w:id="38"/>
    <w:p>
      <w:pPr>
        <w:pStyle w:val="8"/>
        <w:spacing w:before="240" w:after="360"/>
        <w:rPr>
          <w:color w:val="000000"/>
        </w:rPr>
      </w:pPr>
      <w:bookmarkStart w:id="40" w:name="_Toc499456568"/>
      <w:bookmarkStart w:id="41" w:name="_Toc393480213"/>
      <w:r>
        <w:rPr>
          <w:color w:val="000000"/>
        </w:rPr>
        <w:t>A10</w:t>
      </w:r>
      <w:r>
        <w:rPr>
          <w:rFonts w:hint="eastAsia"/>
          <w:color w:val="000000"/>
        </w:rPr>
        <w:t>4</w:t>
      </w:r>
      <w:r>
        <w:rPr>
          <w:color w:val="000000"/>
        </w:rPr>
        <w:t>000</w:t>
      </w:r>
      <w:r>
        <w:rPr>
          <w:color w:val="000000"/>
        </w:rPr>
        <w:tab/>
      </w:r>
      <w:r>
        <w:rPr>
          <w:rFonts w:hint="eastAsia"/>
          <w:color w:val="000000"/>
        </w:rPr>
        <w:t>《期间费用明细表》填报说明</w:t>
      </w:r>
      <w:bookmarkEnd w:id="40"/>
    </w:p>
    <w:p>
      <w:pPr>
        <w:pStyle w:val="9"/>
        <w:rPr>
          <w:color w:val="000000"/>
        </w:rPr>
      </w:pPr>
      <w:r>
        <w:rPr>
          <w:rFonts w:hint="eastAsia"/>
          <w:color w:val="000000"/>
        </w:rPr>
        <w:t>本表适用于执行企业会计准则、小企业会计准则、企业会计制度、分行业会计制度的查账征收居民纳税人填报。纳税人应根据企业会计准则、小企业会计准则、企业会计、分行业会计制度规定，填报“销售费用”“管理费用”和“财务费用”等项目。</w:t>
      </w:r>
    </w:p>
    <w:p>
      <w:pPr>
        <w:pStyle w:val="11"/>
        <w:ind w:firstLine="482"/>
      </w:pPr>
      <w:r>
        <w:rPr>
          <w:rFonts w:hint="eastAsia"/>
        </w:rPr>
        <w:t>一、有关项目填报说明</w:t>
      </w:r>
    </w:p>
    <w:p>
      <w:pPr>
        <w:pStyle w:val="9"/>
        <w:rPr>
          <w:color w:val="000000"/>
        </w:rPr>
      </w:pPr>
      <w:r>
        <w:rPr>
          <w:color w:val="000000"/>
        </w:rPr>
        <w:t>1.</w:t>
      </w:r>
      <w:r>
        <w:rPr>
          <w:rFonts w:hint="eastAsia"/>
          <w:color w:val="000000"/>
        </w:rPr>
        <w:t>第</w:t>
      </w:r>
      <w:r>
        <w:rPr>
          <w:color w:val="000000"/>
        </w:rPr>
        <w:t>1</w:t>
      </w:r>
      <w:r>
        <w:rPr>
          <w:rFonts w:hint="eastAsia"/>
          <w:color w:val="000000"/>
        </w:rPr>
        <w:t>列“销售费用”：填报在销售费用科目进行核算的相关明细项目的金额，其中金融企业填报在业务及管理费科目进行核算的相关明细项目的金额。</w:t>
      </w:r>
    </w:p>
    <w:p>
      <w:pPr>
        <w:pStyle w:val="9"/>
        <w:rPr>
          <w:color w:val="000000"/>
        </w:rPr>
      </w:pPr>
      <w:r>
        <w:rPr>
          <w:color w:val="000000"/>
        </w:rPr>
        <w:t>2.</w:t>
      </w:r>
      <w:r>
        <w:rPr>
          <w:rFonts w:hint="eastAsia"/>
          <w:color w:val="000000"/>
        </w:rPr>
        <w:t>第</w:t>
      </w:r>
      <w:r>
        <w:rPr>
          <w:color w:val="000000"/>
        </w:rPr>
        <w:t>2</w:t>
      </w:r>
      <w:r>
        <w:rPr>
          <w:rFonts w:hint="eastAsia"/>
          <w:color w:val="000000"/>
        </w:rPr>
        <w:t>列“其中：境外支付”：填报在销售费用科目进行核算的向境外支付的相关明细项目的金额，其中金融企业填报在业务及管理费科目进行核算的相关明细项目的金额。</w:t>
      </w:r>
    </w:p>
    <w:p>
      <w:pPr>
        <w:pStyle w:val="9"/>
        <w:rPr>
          <w:color w:val="000000"/>
        </w:rPr>
      </w:pPr>
      <w:r>
        <w:rPr>
          <w:color w:val="000000"/>
        </w:rPr>
        <w:t>3.</w:t>
      </w:r>
      <w:r>
        <w:rPr>
          <w:rFonts w:hint="eastAsia"/>
          <w:color w:val="000000"/>
        </w:rPr>
        <w:t>第</w:t>
      </w:r>
      <w:r>
        <w:rPr>
          <w:color w:val="000000"/>
        </w:rPr>
        <w:t>3</w:t>
      </w:r>
      <w:r>
        <w:rPr>
          <w:rFonts w:hint="eastAsia"/>
          <w:color w:val="000000"/>
        </w:rPr>
        <w:t>列“管理费用”：填报在管理费用科目进行核算的相关明细项目的金额。</w:t>
      </w:r>
    </w:p>
    <w:p>
      <w:pPr>
        <w:pStyle w:val="9"/>
        <w:rPr>
          <w:color w:val="000000"/>
        </w:rPr>
      </w:pPr>
      <w:r>
        <w:rPr>
          <w:color w:val="000000"/>
        </w:rPr>
        <w:t>4.</w:t>
      </w:r>
      <w:r>
        <w:rPr>
          <w:rFonts w:hint="eastAsia"/>
          <w:color w:val="000000"/>
        </w:rPr>
        <w:t>第</w:t>
      </w:r>
      <w:r>
        <w:rPr>
          <w:color w:val="000000"/>
        </w:rPr>
        <w:t>4</w:t>
      </w:r>
      <w:r>
        <w:rPr>
          <w:rFonts w:hint="eastAsia"/>
          <w:color w:val="000000"/>
        </w:rPr>
        <w:t>列“其中：境外支付”：填报在管理费用科目进行核算的向境外支付的相关明细项目的金额。</w:t>
      </w:r>
    </w:p>
    <w:p>
      <w:pPr>
        <w:pStyle w:val="9"/>
        <w:rPr>
          <w:color w:val="000000"/>
        </w:rPr>
      </w:pPr>
      <w:r>
        <w:rPr>
          <w:color w:val="000000"/>
        </w:rPr>
        <w:t>5.</w:t>
      </w:r>
      <w:r>
        <w:rPr>
          <w:rFonts w:hint="eastAsia"/>
          <w:color w:val="000000"/>
        </w:rPr>
        <w:t>第</w:t>
      </w:r>
      <w:r>
        <w:rPr>
          <w:color w:val="000000"/>
        </w:rPr>
        <w:t>5</w:t>
      </w:r>
      <w:r>
        <w:rPr>
          <w:rFonts w:hint="eastAsia"/>
          <w:color w:val="000000"/>
        </w:rPr>
        <w:t>列“财务费用”：填报在财务费用科目进行核算的有关明细项目的金额。</w:t>
      </w:r>
    </w:p>
    <w:p>
      <w:pPr>
        <w:pStyle w:val="9"/>
        <w:rPr>
          <w:color w:val="000000"/>
        </w:rPr>
      </w:pPr>
      <w:r>
        <w:rPr>
          <w:color w:val="000000"/>
        </w:rPr>
        <w:t>6.</w:t>
      </w:r>
      <w:r>
        <w:rPr>
          <w:rFonts w:hint="eastAsia"/>
          <w:color w:val="000000"/>
        </w:rPr>
        <w:t>第</w:t>
      </w:r>
      <w:r>
        <w:rPr>
          <w:color w:val="000000"/>
        </w:rPr>
        <w:t>6</w:t>
      </w:r>
      <w:r>
        <w:rPr>
          <w:rFonts w:hint="eastAsia"/>
          <w:color w:val="000000"/>
        </w:rPr>
        <w:t>列“其中：境外支付”：填报在财务费用科目进行核算的向境外支付的有关明细项目的金额。</w:t>
      </w:r>
    </w:p>
    <w:p>
      <w:pPr>
        <w:pStyle w:val="9"/>
        <w:rPr>
          <w:color w:val="000000"/>
        </w:rPr>
      </w:pPr>
      <w:r>
        <w:rPr>
          <w:color w:val="000000"/>
        </w:rPr>
        <w:t>7.</w:t>
      </w:r>
      <w:r>
        <w:rPr>
          <w:rFonts w:hint="eastAsia"/>
          <w:color w:val="000000"/>
        </w:rPr>
        <w:t>第</w:t>
      </w:r>
      <w:r>
        <w:rPr>
          <w:color w:val="000000"/>
        </w:rPr>
        <w:t>1</w:t>
      </w:r>
      <w:r>
        <w:rPr>
          <w:rFonts w:hint="eastAsia"/>
          <w:color w:val="000000"/>
        </w:rPr>
        <w:t>行至第</w:t>
      </w:r>
      <w:r>
        <w:rPr>
          <w:color w:val="000000"/>
        </w:rPr>
        <w:t>2</w:t>
      </w:r>
      <w:r>
        <w:rPr>
          <w:rFonts w:hint="eastAsia"/>
          <w:color w:val="000000"/>
        </w:rPr>
        <w:t>5行：根据费用科目核算的具体项目金额进行填报，如果贷方发生额大于借方发生额，应填报负数。</w:t>
      </w:r>
    </w:p>
    <w:p>
      <w:pPr>
        <w:pStyle w:val="9"/>
        <w:rPr>
          <w:color w:val="000000"/>
        </w:rPr>
      </w:pPr>
      <w:r>
        <w:rPr>
          <w:color w:val="000000"/>
        </w:rPr>
        <w:t>8.</w:t>
      </w:r>
      <w:r>
        <w:rPr>
          <w:rFonts w:hint="eastAsia"/>
          <w:color w:val="000000"/>
        </w:rPr>
        <w:t>第</w:t>
      </w:r>
      <w:r>
        <w:rPr>
          <w:color w:val="000000"/>
        </w:rPr>
        <w:t>2</w:t>
      </w:r>
      <w:r>
        <w:rPr>
          <w:rFonts w:hint="eastAsia"/>
          <w:color w:val="000000"/>
        </w:rPr>
        <w:t>6行第</w:t>
      </w:r>
      <w:r>
        <w:rPr>
          <w:color w:val="000000"/>
        </w:rPr>
        <w:t>1</w:t>
      </w:r>
      <w:r>
        <w:rPr>
          <w:rFonts w:hint="eastAsia"/>
          <w:color w:val="000000"/>
        </w:rPr>
        <w:t>列：填报第</w:t>
      </w:r>
      <w:r>
        <w:rPr>
          <w:color w:val="000000"/>
        </w:rPr>
        <w:t>1</w:t>
      </w:r>
      <w:r>
        <w:rPr>
          <w:rFonts w:hint="eastAsia"/>
          <w:color w:val="000000"/>
        </w:rPr>
        <w:t>行至第</w:t>
      </w:r>
      <w:r>
        <w:rPr>
          <w:color w:val="000000"/>
        </w:rPr>
        <w:t>2</w:t>
      </w:r>
      <w:r>
        <w:rPr>
          <w:rFonts w:hint="eastAsia"/>
          <w:color w:val="000000"/>
        </w:rPr>
        <w:t>5行第</w:t>
      </w:r>
      <w:r>
        <w:rPr>
          <w:color w:val="000000"/>
        </w:rPr>
        <w:t>1</w:t>
      </w:r>
      <w:r>
        <w:rPr>
          <w:rFonts w:hint="eastAsia"/>
          <w:color w:val="000000"/>
        </w:rPr>
        <w:t>列的合计金额。</w:t>
      </w:r>
    </w:p>
    <w:p>
      <w:pPr>
        <w:pStyle w:val="9"/>
        <w:rPr>
          <w:color w:val="000000"/>
        </w:rPr>
      </w:pPr>
      <w:r>
        <w:rPr>
          <w:color w:val="000000"/>
        </w:rPr>
        <w:t>9.</w:t>
      </w:r>
      <w:r>
        <w:rPr>
          <w:rFonts w:hint="eastAsia"/>
          <w:color w:val="000000"/>
        </w:rPr>
        <w:t>第</w:t>
      </w:r>
      <w:r>
        <w:rPr>
          <w:color w:val="000000"/>
        </w:rPr>
        <w:t>2</w:t>
      </w:r>
      <w:r>
        <w:rPr>
          <w:rFonts w:hint="eastAsia"/>
          <w:color w:val="000000"/>
        </w:rPr>
        <w:t>6行第</w:t>
      </w:r>
      <w:r>
        <w:rPr>
          <w:color w:val="000000"/>
        </w:rPr>
        <w:t>2</w:t>
      </w:r>
      <w:r>
        <w:rPr>
          <w:rFonts w:hint="eastAsia"/>
          <w:color w:val="000000"/>
        </w:rPr>
        <w:t>列：填报第</w:t>
      </w:r>
      <w:r>
        <w:rPr>
          <w:color w:val="000000"/>
        </w:rPr>
        <w:t>1</w:t>
      </w:r>
      <w:r>
        <w:rPr>
          <w:rFonts w:hint="eastAsia"/>
          <w:color w:val="000000"/>
        </w:rPr>
        <w:t>行至第</w:t>
      </w:r>
      <w:r>
        <w:rPr>
          <w:color w:val="000000"/>
        </w:rPr>
        <w:t>2</w:t>
      </w:r>
      <w:r>
        <w:rPr>
          <w:rFonts w:hint="eastAsia"/>
          <w:color w:val="000000"/>
        </w:rPr>
        <w:t>5行第</w:t>
      </w:r>
      <w:r>
        <w:rPr>
          <w:color w:val="000000"/>
        </w:rPr>
        <w:t>2</w:t>
      </w:r>
      <w:r>
        <w:rPr>
          <w:rFonts w:hint="eastAsia"/>
          <w:color w:val="000000"/>
        </w:rPr>
        <w:t>列的合计金额。</w:t>
      </w:r>
    </w:p>
    <w:p>
      <w:pPr>
        <w:pStyle w:val="9"/>
        <w:rPr>
          <w:color w:val="000000"/>
        </w:rPr>
      </w:pPr>
      <w:r>
        <w:rPr>
          <w:color w:val="000000"/>
        </w:rPr>
        <w:t>10.</w:t>
      </w:r>
      <w:r>
        <w:rPr>
          <w:rFonts w:hint="eastAsia"/>
          <w:color w:val="000000"/>
        </w:rPr>
        <w:t>第</w:t>
      </w:r>
      <w:r>
        <w:rPr>
          <w:color w:val="000000"/>
        </w:rPr>
        <w:t>2</w:t>
      </w:r>
      <w:r>
        <w:rPr>
          <w:rFonts w:hint="eastAsia"/>
          <w:color w:val="000000"/>
        </w:rPr>
        <w:t>6行第</w:t>
      </w:r>
      <w:r>
        <w:rPr>
          <w:color w:val="000000"/>
        </w:rPr>
        <w:t>3</w:t>
      </w:r>
      <w:r>
        <w:rPr>
          <w:rFonts w:hint="eastAsia"/>
          <w:color w:val="000000"/>
        </w:rPr>
        <w:t>列：填报第</w:t>
      </w:r>
      <w:r>
        <w:rPr>
          <w:color w:val="000000"/>
        </w:rPr>
        <w:t>1</w:t>
      </w:r>
      <w:r>
        <w:rPr>
          <w:rFonts w:hint="eastAsia"/>
          <w:color w:val="000000"/>
        </w:rPr>
        <w:t>行至第</w:t>
      </w:r>
      <w:r>
        <w:rPr>
          <w:color w:val="000000"/>
        </w:rPr>
        <w:t>2</w:t>
      </w:r>
      <w:r>
        <w:rPr>
          <w:rFonts w:hint="eastAsia"/>
          <w:color w:val="000000"/>
        </w:rPr>
        <w:t>5行第</w:t>
      </w:r>
      <w:r>
        <w:rPr>
          <w:color w:val="000000"/>
        </w:rPr>
        <w:t>3</w:t>
      </w:r>
      <w:r>
        <w:rPr>
          <w:rFonts w:hint="eastAsia"/>
          <w:color w:val="000000"/>
        </w:rPr>
        <w:t>列的合计金额。</w:t>
      </w:r>
    </w:p>
    <w:p>
      <w:pPr>
        <w:pStyle w:val="9"/>
        <w:rPr>
          <w:color w:val="000000"/>
        </w:rPr>
      </w:pPr>
      <w:r>
        <w:rPr>
          <w:color w:val="000000"/>
        </w:rPr>
        <w:t>11.</w:t>
      </w:r>
      <w:r>
        <w:rPr>
          <w:rFonts w:hint="eastAsia"/>
          <w:color w:val="000000"/>
        </w:rPr>
        <w:t>第</w:t>
      </w:r>
      <w:r>
        <w:rPr>
          <w:color w:val="000000"/>
        </w:rPr>
        <w:t>2</w:t>
      </w:r>
      <w:r>
        <w:rPr>
          <w:rFonts w:hint="eastAsia"/>
          <w:color w:val="000000"/>
        </w:rPr>
        <w:t>6行第</w:t>
      </w:r>
      <w:r>
        <w:rPr>
          <w:color w:val="000000"/>
        </w:rPr>
        <w:t>4</w:t>
      </w:r>
      <w:r>
        <w:rPr>
          <w:rFonts w:hint="eastAsia"/>
          <w:color w:val="000000"/>
        </w:rPr>
        <w:t>列：填报第</w:t>
      </w:r>
      <w:r>
        <w:rPr>
          <w:color w:val="000000"/>
        </w:rPr>
        <w:t>1</w:t>
      </w:r>
      <w:r>
        <w:rPr>
          <w:rFonts w:hint="eastAsia"/>
          <w:color w:val="000000"/>
        </w:rPr>
        <w:t>行至第</w:t>
      </w:r>
      <w:r>
        <w:rPr>
          <w:color w:val="000000"/>
        </w:rPr>
        <w:t>2</w:t>
      </w:r>
      <w:r>
        <w:rPr>
          <w:rFonts w:hint="eastAsia"/>
          <w:color w:val="000000"/>
        </w:rPr>
        <w:t>5行第</w:t>
      </w:r>
      <w:r>
        <w:rPr>
          <w:color w:val="000000"/>
        </w:rPr>
        <w:t>4</w:t>
      </w:r>
      <w:r>
        <w:rPr>
          <w:rFonts w:hint="eastAsia"/>
          <w:color w:val="000000"/>
        </w:rPr>
        <w:t>列的合计金额。</w:t>
      </w:r>
    </w:p>
    <w:p>
      <w:pPr>
        <w:pStyle w:val="9"/>
        <w:rPr>
          <w:color w:val="000000"/>
        </w:rPr>
      </w:pPr>
      <w:r>
        <w:rPr>
          <w:color w:val="000000"/>
        </w:rPr>
        <w:t>12.</w:t>
      </w:r>
      <w:r>
        <w:rPr>
          <w:rFonts w:hint="eastAsia"/>
          <w:color w:val="000000"/>
        </w:rPr>
        <w:t>第</w:t>
      </w:r>
      <w:r>
        <w:rPr>
          <w:color w:val="000000"/>
        </w:rPr>
        <w:t>2</w:t>
      </w:r>
      <w:r>
        <w:rPr>
          <w:rFonts w:hint="eastAsia"/>
          <w:color w:val="000000"/>
        </w:rPr>
        <w:t>6行第</w:t>
      </w:r>
      <w:r>
        <w:rPr>
          <w:color w:val="000000"/>
        </w:rPr>
        <w:t>5</w:t>
      </w:r>
      <w:r>
        <w:rPr>
          <w:rFonts w:hint="eastAsia"/>
          <w:color w:val="000000"/>
        </w:rPr>
        <w:t>列：填报第</w:t>
      </w:r>
      <w:r>
        <w:rPr>
          <w:color w:val="000000"/>
        </w:rPr>
        <w:t>1</w:t>
      </w:r>
      <w:r>
        <w:rPr>
          <w:rFonts w:hint="eastAsia"/>
          <w:color w:val="000000"/>
        </w:rPr>
        <w:t>行至第</w:t>
      </w:r>
      <w:r>
        <w:rPr>
          <w:color w:val="000000"/>
        </w:rPr>
        <w:t>2</w:t>
      </w:r>
      <w:r>
        <w:rPr>
          <w:rFonts w:hint="eastAsia"/>
          <w:color w:val="000000"/>
        </w:rPr>
        <w:t>5行第</w:t>
      </w:r>
      <w:r>
        <w:rPr>
          <w:color w:val="000000"/>
        </w:rPr>
        <w:t>5</w:t>
      </w:r>
      <w:r>
        <w:rPr>
          <w:rFonts w:hint="eastAsia"/>
          <w:color w:val="000000"/>
        </w:rPr>
        <w:t>列的合计金额。</w:t>
      </w:r>
    </w:p>
    <w:p>
      <w:pPr>
        <w:pStyle w:val="9"/>
        <w:rPr>
          <w:color w:val="000000"/>
        </w:rPr>
      </w:pPr>
      <w:r>
        <w:rPr>
          <w:color w:val="000000"/>
        </w:rPr>
        <w:t>13.</w:t>
      </w:r>
      <w:r>
        <w:rPr>
          <w:rFonts w:hint="eastAsia"/>
          <w:color w:val="000000"/>
        </w:rPr>
        <w:t>第</w:t>
      </w:r>
      <w:r>
        <w:rPr>
          <w:color w:val="000000"/>
        </w:rPr>
        <w:t>2</w:t>
      </w:r>
      <w:r>
        <w:rPr>
          <w:rFonts w:hint="eastAsia"/>
          <w:color w:val="000000"/>
        </w:rPr>
        <w:t>6行第</w:t>
      </w:r>
      <w:r>
        <w:rPr>
          <w:color w:val="000000"/>
        </w:rPr>
        <w:t>6</w:t>
      </w:r>
      <w:r>
        <w:rPr>
          <w:rFonts w:hint="eastAsia"/>
          <w:color w:val="000000"/>
        </w:rPr>
        <w:t>列：填报第</w:t>
      </w:r>
      <w:r>
        <w:rPr>
          <w:color w:val="000000"/>
        </w:rPr>
        <w:t>1</w:t>
      </w:r>
      <w:r>
        <w:rPr>
          <w:rFonts w:hint="eastAsia"/>
          <w:color w:val="000000"/>
        </w:rPr>
        <w:t>行至第</w:t>
      </w:r>
      <w:r>
        <w:rPr>
          <w:color w:val="000000"/>
        </w:rPr>
        <w:t>2</w:t>
      </w:r>
      <w:r>
        <w:rPr>
          <w:rFonts w:hint="eastAsia"/>
          <w:color w:val="000000"/>
        </w:rPr>
        <w:t>5行第</w:t>
      </w:r>
      <w:r>
        <w:rPr>
          <w:color w:val="000000"/>
        </w:rPr>
        <w:t>6</w:t>
      </w:r>
      <w:r>
        <w:rPr>
          <w:rFonts w:hint="eastAsia"/>
          <w:color w:val="000000"/>
        </w:rPr>
        <w:t>列的合计金额。</w:t>
      </w:r>
    </w:p>
    <w:p>
      <w:pPr>
        <w:pStyle w:val="11"/>
        <w:ind w:firstLine="482"/>
      </w:pPr>
      <w:r>
        <w:rPr>
          <w:rFonts w:hint="eastAsia"/>
        </w:rPr>
        <w:t>二、表内、表间关系</w:t>
      </w:r>
    </w:p>
    <w:p>
      <w:pPr>
        <w:pStyle w:val="12"/>
      </w:pPr>
      <w:r>
        <w:rPr>
          <w:rFonts w:hint="eastAsia"/>
        </w:rPr>
        <w:t>（一）表内关系</w:t>
      </w:r>
    </w:p>
    <w:p>
      <w:pPr>
        <w:pStyle w:val="9"/>
        <w:rPr>
          <w:color w:val="000000"/>
        </w:rPr>
      </w:pPr>
      <w:r>
        <w:rPr>
          <w:color w:val="000000"/>
        </w:rPr>
        <w:t>1.</w:t>
      </w:r>
      <w:r>
        <w:rPr>
          <w:rFonts w:hint="eastAsia"/>
          <w:color w:val="000000"/>
        </w:rPr>
        <w:t>第</w:t>
      </w:r>
      <w:r>
        <w:rPr>
          <w:color w:val="000000"/>
        </w:rPr>
        <w:t>2</w:t>
      </w:r>
      <w:r>
        <w:rPr>
          <w:rFonts w:hint="eastAsia"/>
          <w:color w:val="000000"/>
        </w:rPr>
        <w:t>6行第</w:t>
      </w:r>
      <w:r>
        <w:rPr>
          <w:color w:val="000000"/>
        </w:rPr>
        <w:t>1</w:t>
      </w:r>
      <w:r>
        <w:rPr>
          <w:rFonts w:hint="eastAsia"/>
          <w:color w:val="000000"/>
        </w:rPr>
        <w:t>列＝第</w:t>
      </w:r>
      <w:r>
        <w:rPr>
          <w:color w:val="000000"/>
        </w:rPr>
        <w:t>1</w:t>
      </w:r>
      <w:r>
        <w:rPr>
          <w:rFonts w:hint="eastAsia"/>
          <w:color w:val="000000"/>
        </w:rPr>
        <w:t>列第</w:t>
      </w:r>
      <w:r>
        <w:rPr>
          <w:color w:val="000000"/>
        </w:rPr>
        <w:t>1+2+</w:t>
      </w:r>
      <w:r>
        <w:rPr>
          <w:rFonts w:hint="eastAsia"/>
          <w:color w:val="000000"/>
        </w:rPr>
        <w:t>…</w:t>
      </w:r>
      <w:r>
        <w:rPr>
          <w:color w:val="000000"/>
        </w:rPr>
        <w:t>+20+</w:t>
      </w:r>
      <w:r>
        <w:rPr>
          <w:rFonts w:hint="eastAsia"/>
          <w:color w:val="000000"/>
        </w:rPr>
        <w:t>25行。</w:t>
      </w:r>
    </w:p>
    <w:p>
      <w:pPr>
        <w:pStyle w:val="9"/>
        <w:rPr>
          <w:color w:val="000000"/>
        </w:rPr>
      </w:pPr>
      <w:r>
        <w:rPr>
          <w:color w:val="000000"/>
        </w:rPr>
        <w:t>2.</w:t>
      </w:r>
      <w:r>
        <w:rPr>
          <w:rFonts w:hint="eastAsia"/>
          <w:color w:val="000000"/>
        </w:rPr>
        <w:t>第</w:t>
      </w:r>
      <w:r>
        <w:rPr>
          <w:color w:val="000000"/>
        </w:rPr>
        <w:t>2</w:t>
      </w:r>
      <w:r>
        <w:rPr>
          <w:rFonts w:hint="eastAsia"/>
          <w:color w:val="000000"/>
        </w:rPr>
        <w:t>6行第</w:t>
      </w:r>
      <w:r>
        <w:rPr>
          <w:color w:val="000000"/>
        </w:rPr>
        <w:t>2</w:t>
      </w:r>
      <w:r>
        <w:rPr>
          <w:rFonts w:hint="eastAsia"/>
          <w:color w:val="000000"/>
        </w:rPr>
        <w:t>列＝第</w:t>
      </w:r>
      <w:r>
        <w:rPr>
          <w:color w:val="000000"/>
        </w:rPr>
        <w:t>2</w:t>
      </w:r>
      <w:r>
        <w:rPr>
          <w:rFonts w:hint="eastAsia"/>
          <w:color w:val="000000"/>
        </w:rPr>
        <w:t>列第</w:t>
      </w:r>
      <w:r>
        <w:rPr>
          <w:color w:val="000000"/>
        </w:rPr>
        <w:t>2+3+6+11+15+16+18+19+</w:t>
      </w:r>
      <w:r>
        <w:rPr>
          <w:rFonts w:hint="eastAsia"/>
          <w:color w:val="000000"/>
        </w:rPr>
        <w:t>25行。</w:t>
      </w:r>
    </w:p>
    <w:p>
      <w:pPr>
        <w:pStyle w:val="9"/>
        <w:rPr>
          <w:color w:val="000000"/>
        </w:rPr>
      </w:pPr>
      <w:r>
        <w:rPr>
          <w:color w:val="000000"/>
        </w:rPr>
        <w:t>3.</w:t>
      </w:r>
      <w:r>
        <w:rPr>
          <w:rFonts w:hint="eastAsia"/>
          <w:color w:val="000000"/>
        </w:rPr>
        <w:t>第</w:t>
      </w:r>
      <w:r>
        <w:rPr>
          <w:color w:val="000000"/>
        </w:rPr>
        <w:t>2</w:t>
      </w:r>
      <w:r>
        <w:rPr>
          <w:rFonts w:hint="eastAsia"/>
          <w:color w:val="000000"/>
        </w:rPr>
        <w:t>6行第</w:t>
      </w:r>
      <w:r>
        <w:rPr>
          <w:color w:val="000000"/>
        </w:rPr>
        <w:t>3</w:t>
      </w:r>
      <w:r>
        <w:rPr>
          <w:rFonts w:hint="eastAsia"/>
          <w:color w:val="000000"/>
        </w:rPr>
        <w:t>列＝第</w:t>
      </w:r>
      <w:r>
        <w:rPr>
          <w:color w:val="000000"/>
        </w:rPr>
        <w:t>3</w:t>
      </w:r>
      <w:r>
        <w:rPr>
          <w:rFonts w:hint="eastAsia"/>
          <w:color w:val="000000"/>
        </w:rPr>
        <w:t>列第</w:t>
      </w:r>
      <w:r>
        <w:rPr>
          <w:color w:val="000000"/>
        </w:rPr>
        <w:t>1+2+</w:t>
      </w:r>
      <w:r>
        <w:rPr>
          <w:rFonts w:hint="eastAsia"/>
          <w:color w:val="000000"/>
        </w:rPr>
        <w:t>…</w:t>
      </w:r>
      <w:r>
        <w:rPr>
          <w:color w:val="000000"/>
        </w:rPr>
        <w:t>+20+24</w:t>
      </w:r>
      <w:r>
        <w:rPr>
          <w:rFonts w:hint="eastAsia"/>
          <w:color w:val="000000"/>
        </w:rPr>
        <w:t>+25行。</w:t>
      </w:r>
    </w:p>
    <w:p>
      <w:pPr>
        <w:pStyle w:val="9"/>
        <w:rPr>
          <w:color w:val="000000"/>
        </w:rPr>
      </w:pPr>
      <w:r>
        <w:rPr>
          <w:color w:val="000000"/>
        </w:rPr>
        <w:t>4.</w:t>
      </w:r>
      <w:r>
        <w:rPr>
          <w:rFonts w:hint="eastAsia"/>
          <w:color w:val="000000"/>
        </w:rPr>
        <w:t>第</w:t>
      </w:r>
      <w:r>
        <w:rPr>
          <w:color w:val="000000"/>
        </w:rPr>
        <w:t>2</w:t>
      </w:r>
      <w:r>
        <w:rPr>
          <w:rFonts w:hint="eastAsia"/>
          <w:color w:val="000000"/>
        </w:rPr>
        <w:t>6行第</w:t>
      </w:r>
      <w:r>
        <w:rPr>
          <w:color w:val="000000"/>
        </w:rPr>
        <w:t>4</w:t>
      </w:r>
      <w:r>
        <w:rPr>
          <w:rFonts w:hint="eastAsia"/>
          <w:color w:val="000000"/>
        </w:rPr>
        <w:t>列＝第</w:t>
      </w:r>
      <w:r>
        <w:rPr>
          <w:color w:val="000000"/>
        </w:rPr>
        <w:t>4</w:t>
      </w:r>
      <w:r>
        <w:rPr>
          <w:rFonts w:hint="eastAsia"/>
          <w:color w:val="000000"/>
        </w:rPr>
        <w:t>列第</w:t>
      </w:r>
      <w:r>
        <w:rPr>
          <w:color w:val="000000"/>
        </w:rPr>
        <w:t>2+3+6+11+15+16+18+19</w:t>
      </w:r>
      <w:r>
        <w:rPr>
          <w:rFonts w:hint="eastAsia"/>
          <w:color w:val="000000"/>
        </w:rPr>
        <w:t>+25行。</w:t>
      </w:r>
    </w:p>
    <w:p>
      <w:pPr>
        <w:pStyle w:val="9"/>
        <w:rPr>
          <w:color w:val="000000"/>
        </w:rPr>
      </w:pPr>
      <w:r>
        <w:rPr>
          <w:color w:val="000000"/>
        </w:rPr>
        <w:t>5.</w:t>
      </w:r>
      <w:r>
        <w:rPr>
          <w:rFonts w:hint="eastAsia"/>
          <w:color w:val="000000"/>
        </w:rPr>
        <w:t>第</w:t>
      </w:r>
      <w:r>
        <w:rPr>
          <w:color w:val="000000"/>
        </w:rPr>
        <w:t>2</w:t>
      </w:r>
      <w:r>
        <w:rPr>
          <w:rFonts w:hint="eastAsia"/>
          <w:color w:val="000000"/>
        </w:rPr>
        <w:t>6行第</w:t>
      </w:r>
      <w:r>
        <w:rPr>
          <w:color w:val="000000"/>
        </w:rPr>
        <w:t>5</w:t>
      </w:r>
      <w:r>
        <w:rPr>
          <w:rFonts w:hint="eastAsia"/>
          <w:color w:val="000000"/>
        </w:rPr>
        <w:t>列＝第</w:t>
      </w:r>
      <w:r>
        <w:rPr>
          <w:color w:val="000000"/>
        </w:rPr>
        <w:t>5</w:t>
      </w:r>
      <w:r>
        <w:rPr>
          <w:rFonts w:hint="eastAsia"/>
          <w:color w:val="000000"/>
        </w:rPr>
        <w:t>列第6</w:t>
      </w:r>
      <w:r>
        <w:rPr>
          <w:color w:val="000000"/>
        </w:rPr>
        <w:t>+21+22+23</w:t>
      </w:r>
      <w:r>
        <w:rPr>
          <w:rFonts w:hint="eastAsia"/>
          <w:color w:val="000000"/>
        </w:rPr>
        <w:t>+25行。</w:t>
      </w:r>
    </w:p>
    <w:p>
      <w:pPr>
        <w:pStyle w:val="9"/>
        <w:rPr>
          <w:color w:val="000000"/>
        </w:rPr>
      </w:pPr>
      <w:r>
        <w:rPr>
          <w:color w:val="000000"/>
        </w:rPr>
        <w:t>6.</w:t>
      </w:r>
      <w:r>
        <w:rPr>
          <w:rFonts w:hint="eastAsia"/>
          <w:color w:val="000000"/>
        </w:rPr>
        <w:t>第</w:t>
      </w:r>
      <w:r>
        <w:rPr>
          <w:color w:val="000000"/>
        </w:rPr>
        <w:t>2</w:t>
      </w:r>
      <w:r>
        <w:rPr>
          <w:rFonts w:hint="eastAsia"/>
          <w:color w:val="000000"/>
        </w:rPr>
        <w:t>6行第</w:t>
      </w:r>
      <w:r>
        <w:rPr>
          <w:color w:val="000000"/>
        </w:rPr>
        <w:t>6</w:t>
      </w:r>
      <w:r>
        <w:rPr>
          <w:rFonts w:hint="eastAsia"/>
          <w:color w:val="000000"/>
        </w:rPr>
        <w:t>列＝第</w:t>
      </w:r>
      <w:r>
        <w:rPr>
          <w:color w:val="000000"/>
        </w:rPr>
        <w:t>6</w:t>
      </w:r>
      <w:r>
        <w:rPr>
          <w:rFonts w:hint="eastAsia"/>
          <w:color w:val="000000"/>
        </w:rPr>
        <w:t>列第6</w:t>
      </w:r>
      <w:r>
        <w:rPr>
          <w:color w:val="000000"/>
        </w:rPr>
        <w:t>+21+22</w:t>
      </w:r>
      <w:r>
        <w:rPr>
          <w:rFonts w:hint="eastAsia"/>
          <w:color w:val="000000"/>
        </w:rPr>
        <w:t>+25行。</w:t>
      </w:r>
    </w:p>
    <w:p>
      <w:pPr>
        <w:pStyle w:val="12"/>
      </w:pPr>
      <w:r>
        <w:rPr>
          <w:rFonts w:hint="eastAsia"/>
        </w:rPr>
        <w:t>（二）表间关系</w:t>
      </w:r>
    </w:p>
    <w:p>
      <w:pPr>
        <w:pStyle w:val="9"/>
        <w:rPr>
          <w:color w:val="000000"/>
        </w:rPr>
      </w:pPr>
      <w:r>
        <w:rPr>
          <w:color w:val="000000"/>
        </w:rPr>
        <w:t>1.</w:t>
      </w:r>
      <w:r>
        <w:rPr>
          <w:rFonts w:hint="eastAsia"/>
          <w:color w:val="000000"/>
        </w:rPr>
        <w:t>第</w:t>
      </w:r>
      <w:r>
        <w:rPr>
          <w:color w:val="000000"/>
        </w:rPr>
        <w:t>2</w:t>
      </w:r>
      <w:r>
        <w:rPr>
          <w:rFonts w:hint="eastAsia"/>
          <w:color w:val="000000"/>
        </w:rPr>
        <w:t>6行第</w:t>
      </w:r>
      <w:r>
        <w:rPr>
          <w:color w:val="000000"/>
        </w:rPr>
        <w:t>1</w:t>
      </w:r>
      <w:r>
        <w:rPr>
          <w:rFonts w:hint="eastAsia"/>
          <w:color w:val="000000"/>
        </w:rPr>
        <w:t>列＝表</w:t>
      </w:r>
      <w:r>
        <w:rPr>
          <w:color w:val="000000"/>
        </w:rPr>
        <w:t>A100000</w:t>
      </w:r>
      <w:r>
        <w:rPr>
          <w:rFonts w:hint="eastAsia"/>
          <w:color w:val="000000"/>
        </w:rPr>
        <w:t>第</w:t>
      </w:r>
      <w:r>
        <w:rPr>
          <w:color w:val="000000"/>
        </w:rPr>
        <w:t>4</w:t>
      </w:r>
      <w:r>
        <w:rPr>
          <w:rFonts w:hint="eastAsia"/>
          <w:color w:val="000000"/>
        </w:rPr>
        <w:t>行。</w:t>
      </w:r>
    </w:p>
    <w:p>
      <w:pPr>
        <w:pStyle w:val="9"/>
        <w:rPr>
          <w:color w:val="000000"/>
        </w:rPr>
      </w:pPr>
      <w:r>
        <w:rPr>
          <w:color w:val="000000"/>
        </w:rPr>
        <w:t>2.</w:t>
      </w:r>
      <w:r>
        <w:rPr>
          <w:rFonts w:hint="eastAsia"/>
          <w:color w:val="000000"/>
        </w:rPr>
        <w:t>第</w:t>
      </w:r>
      <w:r>
        <w:rPr>
          <w:color w:val="000000"/>
        </w:rPr>
        <w:t>2</w:t>
      </w:r>
      <w:r>
        <w:rPr>
          <w:rFonts w:hint="eastAsia"/>
          <w:color w:val="000000"/>
        </w:rPr>
        <w:t>6行第</w:t>
      </w:r>
      <w:r>
        <w:rPr>
          <w:color w:val="000000"/>
        </w:rPr>
        <w:t>3</w:t>
      </w:r>
      <w:r>
        <w:rPr>
          <w:rFonts w:hint="eastAsia"/>
          <w:color w:val="000000"/>
        </w:rPr>
        <w:t>列＝表</w:t>
      </w:r>
      <w:r>
        <w:rPr>
          <w:color w:val="000000"/>
        </w:rPr>
        <w:t>A100000</w:t>
      </w:r>
      <w:r>
        <w:rPr>
          <w:rFonts w:hint="eastAsia"/>
          <w:color w:val="000000"/>
        </w:rPr>
        <w:t>第</w:t>
      </w:r>
      <w:r>
        <w:rPr>
          <w:color w:val="000000"/>
        </w:rPr>
        <w:t>5</w:t>
      </w:r>
      <w:r>
        <w:rPr>
          <w:rFonts w:hint="eastAsia"/>
          <w:color w:val="000000"/>
        </w:rPr>
        <w:t>行。</w:t>
      </w:r>
    </w:p>
    <w:p>
      <w:pPr>
        <w:pStyle w:val="9"/>
        <w:rPr>
          <w:color w:val="000000"/>
        </w:rPr>
        <w:sectPr>
          <w:pgSz w:w="11906" w:h="16838"/>
          <w:pgMar w:top="1985" w:right="1418" w:bottom="1928" w:left="1418" w:header="851" w:footer="992" w:gutter="113"/>
          <w:cols w:space="425" w:num="1"/>
          <w:titlePg/>
          <w:docGrid w:linePitch="312" w:charSpace="0"/>
        </w:sectPr>
      </w:pPr>
      <w:r>
        <w:rPr>
          <w:color w:val="000000"/>
        </w:rPr>
        <w:t>3.</w:t>
      </w:r>
      <w:r>
        <w:rPr>
          <w:rFonts w:hint="eastAsia"/>
          <w:color w:val="000000"/>
        </w:rPr>
        <w:t>第</w:t>
      </w:r>
      <w:r>
        <w:rPr>
          <w:color w:val="000000"/>
        </w:rPr>
        <w:t>2</w:t>
      </w:r>
      <w:r>
        <w:rPr>
          <w:rFonts w:hint="eastAsia"/>
          <w:color w:val="000000"/>
        </w:rPr>
        <w:t>6行第</w:t>
      </w:r>
      <w:r>
        <w:rPr>
          <w:color w:val="000000"/>
        </w:rPr>
        <w:t>5</w:t>
      </w:r>
      <w:r>
        <w:rPr>
          <w:rFonts w:hint="eastAsia"/>
          <w:color w:val="000000"/>
        </w:rPr>
        <w:t>列＝表</w:t>
      </w:r>
      <w:r>
        <w:rPr>
          <w:color w:val="000000"/>
        </w:rPr>
        <w:t>A100000</w:t>
      </w:r>
      <w:r>
        <w:rPr>
          <w:rFonts w:hint="eastAsia"/>
          <w:color w:val="000000"/>
        </w:rPr>
        <w:t>第</w:t>
      </w:r>
      <w:r>
        <w:rPr>
          <w:color w:val="000000"/>
        </w:rPr>
        <w:t>6</w:t>
      </w:r>
      <w:r>
        <w:rPr>
          <w:rFonts w:hint="eastAsia"/>
          <w:color w:val="000000"/>
        </w:rPr>
        <w:t>行。</w:t>
      </w:r>
    </w:p>
    <w:p>
      <w:pPr>
        <w:pStyle w:val="10"/>
      </w:pPr>
      <w:bookmarkStart w:id="42" w:name="_Toc499456569"/>
      <w:r>
        <w:rPr>
          <w:rFonts w:hint="eastAsia"/>
        </w:rPr>
        <w:t>A105000</w:t>
      </w:r>
      <w:r>
        <w:tab/>
      </w:r>
      <w:r>
        <w:rPr>
          <w:rFonts w:hint="eastAsia"/>
        </w:rPr>
        <w:t>纳税调整项目明细表</w:t>
      </w:r>
      <w:bookmarkEnd w:id="42"/>
    </w:p>
    <w:tbl>
      <w:tblPr>
        <w:tblStyle w:val="7"/>
        <w:tblW w:w="1037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5582"/>
        <w:gridCol w:w="1061"/>
        <w:gridCol w:w="1026"/>
        <w:gridCol w:w="1053"/>
        <w:gridCol w:w="10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5582"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        目</w:t>
            </w: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账载金额</w:t>
            </w: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税收金额</w:t>
            </w:r>
          </w:p>
        </w:tc>
        <w:tc>
          <w:tcPr>
            <w:tcW w:w="1053"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调增金额</w:t>
            </w:r>
          </w:p>
        </w:tc>
        <w:tc>
          <w:tcPr>
            <w:tcW w:w="10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调减金额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vMerge w:val="continue"/>
            <w:shd w:val="clear" w:color="auto" w:fill="auto"/>
            <w:vAlign w:val="center"/>
          </w:tcPr>
          <w:p>
            <w:pPr>
              <w:widowControl/>
              <w:jc w:val="left"/>
              <w:rPr>
                <w:rFonts w:ascii="宋体" w:hAnsi="宋体" w:cs="宋体"/>
                <w:kern w:val="0"/>
                <w:sz w:val="20"/>
                <w:szCs w:val="20"/>
              </w:rPr>
            </w:pPr>
          </w:p>
        </w:tc>
        <w:tc>
          <w:tcPr>
            <w:tcW w:w="5582" w:type="dxa"/>
            <w:vMerge w:val="continue"/>
            <w:shd w:val="clear" w:color="auto" w:fill="auto"/>
            <w:vAlign w:val="center"/>
          </w:tcPr>
          <w:p>
            <w:pPr>
              <w:widowControl/>
              <w:jc w:val="left"/>
              <w:rPr>
                <w:rFonts w:ascii="宋体" w:hAnsi="宋体" w:cs="宋体"/>
                <w:kern w:val="0"/>
                <w:sz w:val="20"/>
                <w:szCs w:val="20"/>
              </w:rPr>
            </w:pP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53"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58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一、收入类调整项目（2+3+…8+10+11）</w:t>
            </w: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（一）视同销售收入（填写A105010）</w:t>
            </w: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（二）未按权责发生制原则确认的收入（填写A105020）</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（三）投资收益（填写A105030）</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（四）按权益法核算长期股权投资对初始投资成本调整确认收益</w:t>
            </w: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（五）交易性金融资产初始投资调整</w:t>
            </w: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（六）公允价值变动净损益</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（七）不征税收入</w:t>
            </w: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5582" w:type="dxa"/>
            <w:shd w:val="clear" w:color="auto" w:fill="auto"/>
            <w:vAlign w:val="center"/>
          </w:tcPr>
          <w:p>
            <w:pPr>
              <w:widowControl/>
              <w:ind w:left="1050" w:leftChars="500"/>
              <w:jc w:val="left"/>
              <w:rPr>
                <w:rFonts w:ascii="宋体" w:hAnsi="宋体" w:cs="宋体"/>
                <w:kern w:val="0"/>
                <w:sz w:val="20"/>
                <w:szCs w:val="20"/>
              </w:rPr>
            </w:pPr>
            <w:r>
              <w:rPr>
                <w:rFonts w:hint="eastAsia" w:ascii="宋体" w:hAnsi="宋体" w:cs="宋体"/>
                <w:kern w:val="0"/>
                <w:sz w:val="20"/>
                <w:szCs w:val="20"/>
              </w:rPr>
              <w:t>其中：专项用途财政性资金（填写A105040）</w:t>
            </w: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（八）销售折扣、折让和退回</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（九）其他</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558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二、扣除类调整项目（13+14+…24+26+27+28+29+</w:t>
            </w:r>
            <w:r>
              <w:rPr>
                <w:rFonts w:ascii="宋体" w:hAnsi="宋体" w:cs="宋体"/>
                <w:kern w:val="0"/>
                <w:sz w:val="20"/>
                <w:szCs w:val="20"/>
              </w:rPr>
              <w:t>30</w:t>
            </w:r>
            <w:r>
              <w:rPr>
                <w:rFonts w:hint="eastAsia" w:ascii="宋体" w:hAnsi="宋体" w:cs="宋体"/>
                <w:kern w:val="0"/>
                <w:sz w:val="20"/>
                <w:szCs w:val="20"/>
              </w:rPr>
              <w:t>）</w:t>
            </w: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（一）视同销售成本（填写A105010）</w:t>
            </w: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（二）职工薪酬（填写A105050）</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（三）业务招待费支出</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（四）广告费和业务宣传费支出（填写A105060）</w:t>
            </w: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（五）捐赠支出（填写A105070）</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（六）利息支出</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（七）罚金、罚款和被没收财物的损失</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（八）税收滞纳金、加收利息</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（九）赞助支出</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（十）与未实现融资收益相关在当期确认的财务费用</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（十一）佣金和手续费支出</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（十二）不征税收入用于支出所形成的费用</w:t>
            </w: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5582" w:type="dxa"/>
            <w:shd w:val="clear" w:color="auto" w:fill="auto"/>
            <w:vAlign w:val="center"/>
          </w:tcPr>
          <w:p>
            <w:pPr>
              <w:widowControl/>
              <w:ind w:left="1050" w:leftChars="500"/>
              <w:jc w:val="left"/>
              <w:rPr>
                <w:rFonts w:ascii="宋体" w:hAnsi="宋体" w:cs="宋体"/>
                <w:kern w:val="0"/>
                <w:sz w:val="20"/>
                <w:szCs w:val="20"/>
              </w:rPr>
            </w:pPr>
            <w:r>
              <w:rPr>
                <w:rFonts w:hint="eastAsia" w:ascii="宋体" w:hAnsi="宋体" w:cs="宋体"/>
                <w:kern w:val="0"/>
                <w:sz w:val="20"/>
                <w:szCs w:val="20"/>
              </w:rPr>
              <w:t>其中：专项用途财政性资金用于支出所形成的费用（填写A105040）</w:t>
            </w: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（十三）跨期扣除项目</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（十四）与取得收入无关的支出</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（十五）境外所得分摊的共同支出</w:t>
            </w: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（十六）党组织工作经费</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（十七）其他</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558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三、资产类调整项目（3</w:t>
            </w:r>
            <w:r>
              <w:rPr>
                <w:rFonts w:ascii="宋体" w:hAnsi="宋体" w:cs="宋体"/>
                <w:kern w:val="0"/>
                <w:sz w:val="20"/>
                <w:szCs w:val="20"/>
              </w:rPr>
              <w:t>2</w:t>
            </w:r>
            <w:r>
              <w:rPr>
                <w:rFonts w:hint="eastAsia" w:ascii="宋体" w:hAnsi="宋体" w:cs="宋体"/>
                <w:kern w:val="0"/>
                <w:sz w:val="20"/>
                <w:szCs w:val="20"/>
              </w:rPr>
              <w:t>+3</w:t>
            </w:r>
            <w:r>
              <w:rPr>
                <w:rFonts w:ascii="宋体" w:hAnsi="宋体" w:cs="宋体"/>
                <w:kern w:val="0"/>
                <w:sz w:val="20"/>
                <w:szCs w:val="20"/>
              </w:rPr>
              <w:t>3</w:t>
            </w:r>
            <w:r>
              <w:rPr>
                <w:rFonts w:hint="eastAsia" w:ascii="宋体" w:hAnsi="宋体" w:cs="宋体"/>
                <w:kern w:val="0"/>
                <w:sz w:val="20"/>
                <w:szCs w:val="20"/>
              </w:rPr>
              <w:t>+3</w:t>
            </w:r>
            <w:r>
              <w:rPr>
                <w:rFonts w:ascii="宋体" w:hAnsi="宋体" w:cs="宋体"/>
                <w:kern w:val="0"/>
                <w:sz w:val="20"/>
                <w:szCs w:val="20"/>
              </w:rPr>
              <w:t>4</w:t>
            </w:r>
            <w:r>
              <w:rPr>
                <w:rFonts w:hint="eastAsia" w:ascii="宋体" w:hAnsi="宋体" w:cs="宋体"/>
                <w:kern w:val="0"/>
                <w:sz w:val="20"/>
                <w:szCs w:val="20"/>
              </w:rPr>
              <w:t>+3</w:t>
            </w:r>
            <w:r>
              <w:rPr>
                <w:rFonts w:ascii="宋体" w:hAnsi="宋体" w:cs="宋体"/>
                <w:kern w:val="0"/>
                <w:sz w:val="20"/>
                <w:szCs w:val="20"/>
              </w:rPr>
              <w:t>5</w:t>
            </w:r>
            <w:r>
              <w:rPr>
                <w:rFonts w:hint="eastAsia" w:ascii="宋体" w:hAnsi="宋体" w:cs="宋体"/>
                <w:kern w:val="0"/>
                <w:sz w:val="20"/>
                <w:szCs w:val="20"/>
              </w:rPr>
              <w:t>）</w:t>
            </w: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（一）资产折旧、摊销（填写A105080）</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（二）资产减值准备金</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（三）资产损失（填写A105090）</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（四）其他</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558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四、特殊事项调整项目（3</w:t>
            </w:r>
            <w:r>
              <w:rPr>
                <w:rFonts w:ascii="宋体" w:hAnsi="宋体" w:cs="宋体"/>
                <w:kern w:val="0"/>
                <w:sz w:val="20"/>
                <w:szCs w:val="20"/>
              </w:rPr>
              <w:t>7</w:t>
            </w:r>
            <w:r>
              <w:rPr>
                <w:rFonts w:hint="eastAsia" w:ascii="宋体" w:hAnsi="宋体" w:cs="宋体"/>
                <w:kern w:val="0"/>
                <w:sz w:val="20"/>
                <w:szCs w:val="20"/>
              </w:rPr>
              <w:t>+3</w:t>
            </w:r>
            <w:r>
              <w:rPr>
                <w:rFonts w:ascii="宋体" w:hAnsi="宋体" w:cs="宋体"/>
                <w:kern w:val="0"/>
                <w:sz w:val="20"/>
                <w:szCs w:val="20"/>
              </w:rPr>
              <w:t>8</w:t>
            </w:r>
            <w:r>
              <w:rPr>
                <w:rFonts w:hint="eastAsia" w:ascii="宋体" w:hAnsi="宋体" w:cs="宋体"/>
                <w:kern w:val="0"/>
                <w:sz w:val="20"/>
                <w:szCs w:val="20"/>
              </w:rPr>
              <w:t>+…+4</w:t>
            </w:r>
            <w:r>
              <w:rPr>
                <w:rFonts w:ascii="宋体" w:hAnsi="宋体" w:cs="宋体"/>
                <w:kern w:val="0"/>
                <w:sz w:val="20"/>
                <w:szCs w:val="20"/>
              </w:rPr>
              <w:t>2</w:t>
            </w:r>
            <w:r>
              <w:rPr>
                <w:rFonts w:hint="eastAsia" w:ascii="宋体" w:hAnsi="宋体" w:cs="宋体"/>
                <w:kern w:val="0"/>
                <w:sz w:val="20"/>
                <w:szCs w:val="20"/>
              </w:rPr>
              <w:t>）</w:t>
            </w: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（一）企业重组及递延纳税事项（填写A105100）</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（二）政策性搬迁（填写A105110）</w:t>
            </w: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（三）特殊行业准备金（填写A105120）</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（四）房地产开发企业特定业务计算的纳税调整额(填写A105010)</w:t>
            </w: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（五）有限合伙企业法人合伙方应分得的应纳税所得额</w:t>
            </w:r>
          </w:p>
        </w:tc>
        <w:tc>
          <w:tcPr>
            <w:tcW w:w="1061" w:type="dxa"/>
            <w:shd w:val="clear" w:color="auto" w:fill="auto"/>
            <w:vAlign w:val="center"/>
          </w:tcPr>
          <w:p>
            <w:pPr>
              <w:widowControl/>
              <w:jc w:val="center"/>
              <w:rPr>
                <w:rFonts w:ascii="宋体" w:hAnsi="宋体" w:cs="宋体"/>
                <w:kern w:val="0"/>
                <w:sz w:val="20"/>
                <w:szCs w:val="20"/>
              </w:rPr>
            </w:pPr>
          </w:p>
        </w:tc>
        <w:tc>
          <w:tcPr>
            <w:tcW w:w="1026" w:type="dxa"/>
            <w:shd w:val="clear" w:color="auto" w:fill="auto"/>
            <w:vAlign w:val="center"/>
          </w:tcPr>
          <w:p>
            <w:pPr>
              <w:widowControl/>
              <w:jc w:val="center"/>
              <w:rPr>
                <w:rFonts w:ascii="宋体" w:hAnsi="宋体" w:cs="宋体"/>
                <w:kern w:val="0"/>
                <w:sz w:val="20"/>
                <w:szCs w:val="20"/>
              </w:rPr>
            </w:pP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558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（六）其他</w:t>
            </w: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558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五、特别纳税调整应税所得</w:t>
            </w: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558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六、其他</w:t>
            </w: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558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合计（1+12+3</w:t>
            </w:r>
            <w:r>
              <w:rPr>
                <w:rFonts w:ascii="宋体" w:hAnsi="宋体" w:cs="宋体"/>
                <w:kern w:val="0"/>
                <w:sz w:val="20"/>
                <w:szCs w:val="20"/>
              </w:rPr>
              <w:t>1</w:t>
            </w:r>
            <w:r>
              <w:rPr>
                <w:rFonts w:hint="eastAsia" w:ascii="宋体" w:hAnsi="宋体" w:cs="宋体"/>
                <w:kern w:val="0"/>
                <w:sz w:val="20"/>
                <w:szCs w:val="20"/>
              </w:rPr>
              <w:t>+3</w:t>
            </w:r>
            <w:r>
              <w:rPr>
                <w:rFonts w:ascii="宋体" w:hAnsi="宋体" w:cs="宋体"/>
                <w:kern w:val="0"/>
                <w:sz w:val="20"/>
                <w:szCs w:val="20"/>
              </w:rPr>
              <w:t>6</w:t>
            </w:r>
            <w:r>
              <w:rPr>
                <w:rFonts w:hint="eastAsia" w:ascii="宋体" w:hAnsi="宋体" w:cs="宋体"/>
                <w:kern w:val="0"/>
                <w:sz w:val="20"/>
                <w:szCs w:val="20"/>
              </w:rPr>
              <w:t>+4</w:t>
            </w:r>
            <w:r>
              <w:rPr>
                <w:rFonts w:ascii="宋体" w:hAnsi="宋体" w:cs="宋体"/>
                <w:kern w:val="0"/>
                <w:sz w:val="20"/>
                <w:szCs w:val="20"/>
              </w:rPr>
              <w:t>3</w:t>
            </w:r>
            <w:r>
              <w:rPr>
                <w:rFonts w:hint="eastAsia" w:ascii="宋体" w:hAnsi="宋体" w:cs="宋体"/>
                <w:kern w:val="0"/>
                <w:sz w:val="20"/>
                <w:szCs w:val="20"/>
              </w:rPr>
              <w:t>+4</w:t>
            </w:r>
            <w:r>
              <w:rPr>
                <w:rFonts w:ascii="宋体" w:hAnsi="宋体" w:cs="宋体"/>
                <w:kern w:val="0"/>
                <w:sz w:val="20"/>
                <w:szCs w:val="20"/>
              </w:rPr>
              <w:t>4</w:t>
            </w:r>
            <w:r>
              <w:rPr>
                <w:rFonts w:hint="eastAsia" w:ascii="宋体" w:hAnsi="宋体" w:cs="宋体"/>
                <w:kern w:val="0"/>
                <w:sz w:val="20"/>
                <w:szCs w:val="20"/>
              </w:rPr>
              <w:t>）</w:t>
            </w:r>
          </w:p>
        </w:tc>
        <w:tc>
          <w:tcPr>
            <w:tcW w:w="106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2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3" w:type="dxa"/>
            <w:shd w:val="clear" w:color="auto" w:fill="auto"/>
            <w:vAlign w:val="center"/>
          </w:tcPr>
          <w:p>
            <w:pPr>
              <w:widowControl/>
              <w:jc w:val="center"/>
              <w:rPr>
                <w:rFonts w:ascii="宋体" w:hAnsi="宋体" w:cs="宋体"/>
                <w:kern w:val="0"/>
                <w:sz w:val="20"/>
                <w:szCs w:val="20"/>
              </w:rPr>
            </w:pPr>
          </w:p>
        </w:tc>
        <w:tc>
          <w:tcPr>
            <w:tcW w:w="1016" w:type="dxa"/>
            <w:shd w:val="clear" w:color="auto" w:fill="auto"/>
            <w:vAlign w:val="center"/>
          </w:tcPr>
          <w:p>
            <w:pPr>
              <w:widowControl/>
              <w:jc w:val="center"/>
              <w:rPr>
                <w:rFonts w:ascii="宋体" w:hAnsi="宋体" w:cs="宋体"/>
                <w:kern w:val="0"/>
                <w:sz w:val="20"/>
                <w:szCs w:val="20"/>
              </w:rPr>
            </w:pPr>
          </w:p>
        </w:tc>
      </w:tr>
    </w:tbl>
    <w:p>
      <w:pPr>
        <w:tabs>
          <w:tab w:val="left" w:pos="495"/>
        </w:tabs>
        <w:sectPr>
          <w:pgSz w:w="11906" w:h="16838"/>
          <w:pgMar w:top="1247" w:right="1418" w:bottom="1134" w:left="1418" w:header="851" w:footer="992" w:gutter="113"/>
          <w:cols w:space="425" w:num="1"/>
          <w:titlePg/>
          <w:docGrid w:linePitch="312" w:charSpace="0"/>
        </w:sectPr>
      </w:pPr>
    </w:p>
    <w:p>
      <w:pPr>
        <w:pStyle w:val="8"/>
        <w:spacing w:before="240" w:after="360"/>
      </w:pPr>
      <w:bookmarkStart w:id="43" w:name="_Toc499456570"/>
      <w:r>
        <w:rPr>
          <w:rFonts w:hint="eastAsia"/>
        </w:rPr>
        <w:t>A105000</w:t>
      </w:r>
      <w:r>
        <w:tab/>
      </w:r>
      <w:r>
        <w:rPr>
          <w:rFonts w:hint="eastAsia"/>
        </w:rPr>
        <w:t>《纳税调整项目明细表》填报说明</w:t>
      </w:r>
      <w:bookmarkEnd w:id="43"/>
    </w:p>
    <w:p>
      <w:pPr>
        <w:pStyle w:val="9"/>
        <w:rPr>
          <w:color w:val="000000"/>
        </w:rPr>
      </w:pPr>
      <w:r>
        <w:rPr>
          <w:rFonts w:hint="eastAsia"/>
          <w:color w:val="000000"/>
        </w:rPr>
        <w:t>本表由纳税人根据税法、相关税收规定以及国家统一会计制度的规定，填报企业所得税涉税事项的会计处理、税务处理以及纳税调整情况。</w:t>
      </w:r>
    </w:p>
    <w:p>
      <w:pPr>
        <w:pStyle w:val="11"/>
        <w:ind w:firstLine="482"/>
      </w:pPr>
      <w:r>
        <w:rPr>
          <w:rFonts w:hint="eastAsia"/>
        </w:rPr>
        <w:t>一、有关项目填报说明</w:t>
      </w:r>
    </w:p>
    <w:p>
      <w:pPr>
        <w:pStyle w:val="9"/>
        <w:rPr>
          <w:color w:val="000000"/>
        </w:rPr>
      </w:pPr>
      <w:r>
        <w:rPr>
          <w:rFonts w:hint="eastAsia"/>
          <w:color w:val="000000"/>
        </w:rPr>
        <w:t>本表纳税调整项目按照“收入类调整项目”“扣除类调整项目”“资产类调整项目”“特殊事项调整项目”“特别纳税调整应税所得”“其他”六大项分类填报汇总，并计算出纳税“调增金额”和“调减金额”的合计金额。</w:t>
      </w:r>
    </w:p>
    <w:p>
      <w:pPr>
        <w:pStyle w:val="9"/>
        <w:rPr>
          <w:color w:val="000000"/>
        </w:rPr>
      </w:pPr>
      <w:r>
        <w:rPr>
          <w:rFonts w:hint="eastAsia"/>
          <w:color w:val="000000"/>
        </w:rPr>
        <w:t>数据栏分别设置“账载金额”“税收金额”“调增金额”“调减金额”四个栏次。“账载金额”是指纳税人按照国家统一会计制度规定核算的项目金额。“税收金额”是指纳税人按照税收规定计算的项目金额。</w:t>
      </w:r>
    </w:p>
    <w:p>
      <w:pPr>
        <w:pStyle w:val="9"/>
        <w:rPr>
          <w:color w:val="000000"/>
        </w:rPr>
      </w:pPr>
      <w:r>
        <w:rPr>
          <w:rFonts w:hint="eastAsia"/>
          <w:color w:val="000000"/>
        </w:rPr>
        <w:t>对需填报下级明细表的纳税调整项目，其“账载金额”、“税收金额”“调增金额”，“调减金额”根据相应附表进行计算填报。</w:t>
      </w:r>
    </w:p>
    <w:p>
      <w:pPr>
        <w:pStyle w:val="12"/>
      </w:pPr>
      <w:r>
        <w:rPr>
          <w:rFonts w:hint="eastAsia"/>
        </w:rPr>
        <w:t>（一）收入类调整项目</w:t>
      </w:r>
    </w:p>
    <w:p>
      <w:pPr>
        <w:pStyle w:val="9"/>
        <w:rPr>
          <w:color w:val="000000"/>
        </w:rPr>
      </w:pPr>
      <w:r>
        <w:rPr>
          <w:rFonts w:hint="eastAsia"/>
          <w:color w:val="000000"/>
        </w:rPr>
        <w:t>1.第1行“一、收入类调整项目”：根据第2行至第11行(不含第9行)进行填报。</w:t>
      </w:r>
    </w:p>
    <w:p>
      <w:pPr>
        <w:pStyle w:val="9"/>
        <w:rPr>
          <w:color w:val="000000"/>
        </w:rPr>
      </w:pPr>
      <w:r>
        <w:rPr>
          <w:rFonts w:hint="eastAsia"/>
          <w:color w:val="000000"/>
        </w:rPr>
        <w:t>2.第2行“（一）视同销售收入”：填报会计处理不确认为销售收入，税收规定确认应税收入的收入。根据《视同销售和房地产开发企业特定业务纳税调整明细表》(A105010)填报。第2列“税收金额”为表A105010第1行第1列金额。第3列“调增金额”为表A105010第1行第2列金额。</w:t>
      </w:r>
    </w:p>
    <w:p>
      <w:pPr>
        <w:pStyle w:val="9"/>
        <w:rPr>
          <w:color w:val="000000"/>
        </w:rPr>
      </w:pPr>
      <w:r>
        <w:rPr>
          <w:rFonts w:hint="eastAsia"/>
          <w:color w:val="000000"/>
        </w:rPr>
        <w:t>3.第3行“（二）未按权责发生制原则确认的收入”：根据《未按权责发生制确认收入纳税调整明细表》(A105020)填报。第1列“账载金额”为表A105020第14行第2列金额。第2列“税收金额”为表A105020第14行第4列金额。表A105020第14行第6列，若≥0，填入本行第3列“调增金额”；若＜0，将绝对值填入本行第4列“调减金额”。</w:t>
      </w:r>
    </w:p>
    <w:p>
      <w:pPr>
        <w:pStyle w:val="9"/>
        <w:rPr>
          <w:color w:val="000000"/>
        </w:rPr>
      </w:pPr>
      <w:r>
        <w:rPr>
          <w:rFonts w:hint="eastAsia"/>
          <w:color w:val="000000"/>
        </w:rPr>
        <w:t>4.第4行“（三）投资收益”：根据《投资收益纳税调整明细表》(A105030)填报。第1列“账载金额”为表A105030第10行第1+8列的合计金额。第2列“税收金额”为表A105030第10行第2+9列的合计金额。表A105030第10行第11列，若≥0，填入本行第3列“调增金额”；若＜0，将绝对值填入本行第4列“调减金额”。</w:t>
      </w:r>
    </w:p>
    <w:p>
      <w:pPr>
        <w:pStyle w:val="9"/>
        <w:rPr>
          <w:color w:val="000000"/>
        </w:rPr>
      </w:pPr>
      <w:r>
        <w:rPr>
          <w:rFonts w:hint="eastAsia"/>
          <w:color w:val="000000"/>
        </w:rPr>
        <w:t>5.第5行“（四）按权益法核算长期股权投资对初始投资成本调整确认收益”：第4列“调减金额”填报纳税人采取权益法核算，初始投资成本小于取得投资时应享有被投资单位可辩认净资产公允价值份额的差额计入取得投资当期的营业外收入的金额。</w:t>
      </w:r>
    </w:p>
    <w:p>
      <w:pPr>
        <w:pStyle w:val="9"/>
        <w:rPr>
          <w:color w:val="000000"/>
        </w:rPr>
      </w:pPr>
      <w:r>
        <w:rPr>
          <w:rFonts w:hint="eastAsia"/>
          <w:color w:val="000000"/>
        </w:rPr>
        <w:t>6.第6行“（五）交易性金融资产初始投资调整”：第3列“调增金额”填报纳税人根据税收规定确认交易性金融资产初始投资金额与会计核算的交易性金融资产初始投资账面价值的差额。</w:t>
      </w:r>
    </w:p>
    <w:p>
      <w:pPr>
        <w:pStyle w:val="9"/>
        <w:rPr>
          <w:color w:val="000000"/>
        </w:rPr>
      </w:pPr>
      <w:r>
        <w:rPr>
          <w:rFonts w:hint="eastAsia"/>
          <w:color w:val="000000"/>
        </w:rPr>
        <w:t>7.第7行“（六）公允价值变动净损益”：第1列“账载金额”填报纳税人会计核算的以公允价值计量的金融资产、金融负债以及投资性房地产类项目，计入当期损益的公允价值变动金额；第1列≤0，将绝对值填入第3列“调增金额”；若第1列＞0，填入第4列“调减金额”。</w:t>
      </w:r>
    </w:p>
    <w:p>
      <w:pPr>
        <w:pStyle w:val="9"/>
        <w:rPr>
          <w:color w:val="000000"/>
        </w:rPr>
      </w:pPr>
      <w:r>
        <w:rPr>
          <w:rFonts w:hint="eastAsia"/>
          <w:color w:val="000000"/>
        </w:rPr>
        <w:t>8.第8行“（七）不征税收入”：填报纳税人计入收入总额但属于税收规定不征税的财政拨款、依法收取并纳入财政管理的行政事业性收费以及政府性基金和国务院规定的其他不征税收入。第3列“调增金额”填报纳税人以前年度取得财政性资金且已作为不征税收入处理，在5年（60个月）内未发生支出且未缴回财政部门或其他拨付资金的政府部门，应计入应税收入额的金额。第4列“调减金额”填报符合税收规定不征税收入条件并作为不征税收入处理，且已计入当期损益的金额。</w:t>
      </w:r>
    </w:p>
    <w:p>
      <w:pPr>
        <w:pStyle w:val="9"/>
        <w:rPr>
          <w:color w:val="000000"/>
        </w:rPr>
      </w:pPr>
      <w:r>
        <w:rPr>
          <w:rFonts w:hint="eastAsia"/>
          <w:color w:val="000000"/>
        </w:rPr>
        <w:t>9.第9行“其中：专项用途财政性资金”：根据《专项用途财政性资金纳税调整明细表》(A105040)填报。第3列“调增金额”为表A105040第7行第14列金额。第4列“调减金额”为表A105040第7行第4列金额。</w:t>
      </w:r>
    </w:p>
    <w:p>
      <w:pPr>
        <w:pStyle w:val="9"/>
        <w:rPr>
          <w:color w:val="000000"/>
        </w:rPr>
      </w:pPr>
      <w:r>
        <w:rPr>
          <w:rFonts w:hint="eastAsia"/>
          <w:color w:val="000000"/>
        </w:rPr>
        <w:t>10.第10行“（八）销售折扣、折让和退回”：填报不符合税收规定的销售折扣和折让应进行纳税调整的金额，和发生的销售退回因会计处理与税收规定有差异需纳税调整的金额。第1列“账载金额”填报纳税人会计核算的销售折扣和折让金额及销货退回的追溯处理的净调整额。第2列“税收金额”填报根据税收规定可以税前扣除的折扣和折让的金额及销货退回业务影响当期损益的金额。第1列减第2列，若余额≥0，填入第3列“调增金额”；若余额＜0，将绝对值填入第4列“调减金额”，第4列仅为销货退回影响损益的跨期时间性差异。</w:t>
      </w:r>
    </w:p>
    <w:p>
      <w:pPr>
        <w:pStyle w:val="9"/>
        <w:rPr>
          <w:color w:val="000000"/>
        </w:rPr>
      </w:pPr>
      <w:r>
        <w:rPr>
          <w:rFonts w:hint="eastAsia"/>
          <w:color w:val="000000"/>
        </w:rPr>
        <w:t>11.第11行“（九）其他”：填报其他因会计处理与税收规定有差异需纳税调整的收入类项目金额。若第2列≥第1列，将第2-1列的余额填入第3列“调增金额”；若第2列＜第1列，将第2-1列余额的绝对值填入第4列“调减金额”。</w:t>
      </w:r>
    </w:p>
    <w:p>
      <w:pPr>
        <w:pStyle w:val="12"/>
      </w:pPr>
      <w:r>
        <w:rPr>
          <w:rFonts w:hint="eastAsia"/>
        </w:rPr>
        <w:t>（二）扣除类调整项目</w:t>
      </w:r>
    </w:p>
    <w:p>
      <w:pPr>
        <w:pStyle w:val="9"/>
        <w:rPr>
          <w:color w:val="000000"/>
        </w:rPr>
      </w:pPr>
      <w:r>
        <w:rPr>
          <w:rFonts w:hint="eastAsia"/>
          <w:color w:val="000000"/>
        </w:rPr>
        <w:t>12.第12行“二、扣除类调整项目”：根据第13行至第30行(不含第25行)填报。</w:t>
      </w:r>
    </w:p>
    <w:p>
      <w:pPr>
        <w:pStyle w:val="9"/>
        <w:rPr>
          <w:color w:val="000000"/>
        </w:rPr>
      </w:pPr>
      <w:r>
        <w:rPr>
          <w:rFonts w:hint="eastAsia"/>
          <w:color w:val="000000"/>
        </w:rPr>
        <w:t>13.第13行“（一）视同销售成本”：填报会计处理不作为销售核算，税收规定作为应税收入对应的销售成本金额。根据《视同销售和房地产开发企业特定业务纳税调整明细表》(A105010)填报。第2列“税收金额”为表A105010第11行第1列金额。第4列“调减金额”为表A105010第11行第2列金额的绝对值。</w:t>
      </w:r>
    </w:p>
    <w:p>
      <w:pPr>
        <w:pStyle w:val="9"/>
        <w:rPr>
          <w:color w:val="000000"/>
        </w:rPr>
      </w:pPr>
      <w:r>
        <w:rPr>
          <w:rFonts w:hint="eastAsia"/>
          <w:color w:val="000000"/>
        </w:rPr>
        <w:t>14.第14行“（二）职工薪酬”：根据《职工薪酬支出及纳税调整明细表》(A105050)填报。第1列“账载金额”为表A105050第1</w:t>
      </w:r>
      <w:r>
        <w:rPr>
          <w:color w:val="000000"/>
        </w:rPr>
        <w:t>3</w:t>
      </w:r>
      <w:r>
        <w:rPr>
          <w:rFonts w:hint="eastAsia"/>
          <w:color w:val="000000"/>
        </w:rPr>
        <w:t>行第1列金额。第2列“税收金额”为表A105050第1</w:t>
      </w:r>
      <w:r>
        <w:rPr>
          <w:color w:val="000000"/>
        </w:rPr>
        <w:t>3</w:t>
      </w:r>
      <w:r>
        <w:rPr>
          <w:rFonts w:hint="eastAsia"/>
          <w:color w:val="000000"/>
        </w:rPr>
        <w:t>行第</w:t>
      </w:r>
      <w:r>
        <w:rPr>
          <w:color w:val="000000"/>
        </w:rPr>
        <w:t>5</w:t>
      </w:r>
      <w:r>
        <w:rPr>
          <w:rFonts w:hint="eastAsia"/>
          <w:color w:val="000000"/>
        </w:rPr>
        <w:t>列金额。表A105050第1</w:t>
      </w:r>
      <w:r>
        <w:rPr>
          <w:color w:val="000000"/>
        </w:rPr>
        <w:t>3</w:t>
      </w:r>
      <w:r>
        <w:rPr>
          <w:rFonts w:hint="eastAsia"/>
          <w:color w:val="000000"/>
        </w:rPr>
        <w:t>行第</w:t>
      </w:r>
      <w:r>
        <w:rPr>
          <w:color w:val="000000"/>
        </w:rPr>
        <w:t>6</w:t>
      </w:r>
      <w:r>
        <w:rPr>
          <w:rFonts w:hint="eastAsia"/>
          <w:color w:val="000000"/>
        </w:rPr>
        <w:t>列，若≥0，填入本行第3列“调增金额”；若＜0，将绝对值填入本行第4列“调减金额”。</w:t>
      </w:r>
    </w:p>
    <w:p>
      <w:pPr>
        <w:pStyle w:val="9"/>
        <w:rPr>
          <w:color w:val="000000"/>
        </w:rPr>
      </w:pPr>
      <w:r>
        <w:rPr>
          <w:rFonts w:hint="eastAsia"/>
          <w:color w:val="000000"/>
        </w:rPr>
        <w:t>15.第15行“（三）业务招待费支出”：第1列“账载金额”填报纳税人会计核算计入当期损益的业务招待费金额。第2列“税收金额”填报按照税收规定允许税前扣除的业务招待费支出的金额。第3列“调增金额”为第1-2列金额。</w:t>
      </w:r>
    </w:p>
    <w:p>
      <w:pPr>
        <w:pStyle w:val="9"/>
        <w:rPr>
          <w:color w:val="000000"/>
        </w:rPr>
      </w:pPr>
      <w:r>
        <w:rPr>
          <w:rFonts w:hint="eastAsia"/>
          <w:color w:val="000000"/>
        </w:rPr>
        <w:t>16.第16行“（四）广告费和业务宣传费支出”：根据《广告费和业务宣传费跨年度纳税调整明细表》(A105060)填报。表A105060第12行，若≥0，填入第3列“调增金额”；若＜0，将绝对值填入第4列“调减金额”。</w:t>
      </w:r>
    </w:p>
    <w:p>
      <w:pPr>
        <w:pStyle w:val="9"/>
        <w:rPr>
          <w:color w:val="000000"/>
        </w:rPr>
      </w:pPr>
      <w:r>
        <w:rPr>
          <w:rFonts w:hint="eastAsia"/>
          <w:color w:val="000000"/>
        </w:rPr>
        <w:t>17.第17行“（五）捐赠支出”：根据《捐赠支出及纳税调整明细表》(A105070)填报。第1列“账载金额”为表A105070第8行第1列金额。第2列“税收金额”为表A105070第8行第4列金额。第3列“调增金额”为表A105070第8行第5列金额。第4列“调减金额”为表A105070第8行第6列金额。</w:t>
      </w:r>
    </w:p>
    <w:p>
      <w:pPr>
        <w:pStyle w:val="9"/>
        <w:rPr>
          <w:color w:val="000000"/>
        </w:rPr>
      </w:pPr>
      <w:r>
        <w:rPr>
          <w:rFonts w:hint="eastAsia"/>
          <w:color w:val="000000"/>
        </w:rPr>
        <w:t>18.第18行“（六）利息支出”：第1列“账载金额”填报纳税人向非金融企业借款，会计核算计入当期损益的利息支出的金额。第2列“税收金额”填报按照税收规定允许税前扣除的利息支出的金额。若第1列≥第2列，将第1列减第2列余额填入第3列“调增金额”；若第1列＜第2列，将第1列减第2列余额的绝对值填入第4列“调减金额”。</w:t>
      </w:r>
    </w:p>
    <w:p>
      <w:pPr>
        <w:pStyle w:val="9"/>
        <w:rPr>
          <w:color w:val="000000"/>
        </w:rPr>
      </w:pPr>
      <w:r>
        <w:rPr>
          <w:rFonts w:hint="eastAsia"/>
          <w:color w:val="000000"/>
        </w:rPr>
        <w:t>19.第19行“（七）罚金、罚款和被没收财物的损失”：第1列“账载金额”填报纳税人会计核算计入当期损益的罚金、罚款和被罚没财物的损失，不包括纳税人按照经济合同规定支付的违约金（包括银行罚息）、罚款和诉讼费。第3列“调增金额”等于第1列金额。</w:t>
      </w:r>
    </w:p>
    <w:p>
      <w:pPr>
        <w:pStyle w:val="9"/>
        <w:rPr>
          <w:color w:val="000000"/>
        </w:rPr>
      </w:pPr>
      <w:r>
        <w:rPr>
          <w:rFonts w:hint="eastAsia"/>
          <w:color w:val="000000"/>
        </w:rPr>
        <w:t>20.第20行“（八）税收滞纳金、加收利息”：第1列“账载金额”填报纳税人会计核算计入当期损益的税收滞纳金、加收利息。第3列“调增金额”等于第1列金额。</w:t>
      </w:r>
    </w:p>
    <w:p>
      <w:pPr>
        <w:pStyle w:val="9"/>
        <w:rPr>
          <w:color w:val="000000"/>
        </w:rPr>
      </w:pPr>
      <w:r>
        <w:rPr>
          <w:rFonts w:hint="eastAsia"/>
          <w:color w:val="000000"/>
        </w:rPr>
        <w:t>21.第21行“（九）赞助支出”：第1列“账载金额”填报纳税人会计核算计入当期损益的不符合税收规定的公益性捐赠的赞助支出的金额，包括直接向受赠人的捐赠、赞助支出等（不含广告性的赞助支出，广告性的赞助支出在表A105060中调整）。第3列“调增金额”等于第1列金额。</w:t>
      </w:r>
    </w:p>
    <w:p>
      <w:pPr>
        <w:pStyle w:val="9"/>
        <w:rPr>
          <w:color w:val="000000"/>
        </w:rPr>
      </w:pPr>
      <w:r>
        <w:rPr>
          <w:rFonts w:hint="eastAsia"/>
          <w:color w:val="000000"/>
        </w:rPr>
        <w:t>22.第22行“（十）与未实现融资收益相关在当期确认的财务费用”：第1列“账载金额”填报纳税人会计核算的与未实现融资收益相关并在当期确认的财务费用的金额。第2列“税收金额”填报按照税收规定允许税前扣除的金额。若第1列≥第2列，将第1-2列余额填入第3列“调增金额”；若第1列＜第2列，将第1-2列余额的绝对值填入第4列“调减金额”。</w:t>
      </w:r>
    </w:p>
    <w:p>
      <w:pPr>
        <w:pStyle w:val="9"/>
        <w:rPr>
          <w:color w:val="000000"/>
        </w:rPr>
      </w:pPr>
      <w:r>
        <w:rPr>
          <w:rFonts w:hint="eastAsia"/>
          <w:color w:val="000000"/>
        </w:rPr>
        <w:t>23.第23行“（十一）佣金和手续费支出”：第1列“账载金额”填报纳税人会计核算计入当期损益的佣金和手续费金额。第2列“税收金额”填报按照税收规定允许税前扣除的佣金和手续费支出金额。第3列“调增金额”为第1-2列的余额。</w:t>
      </w:r>
    </w:p>
    <w:p>
      <w:pPr>
        <w:pStyle w:val="9"/>
        <w:rPr>
          <w:color w:val="000000"/>
        </w:rPr>
      </w:pPr>
      <w:r>
        <w:rPr>
          <w:rFonts w:hint="eastAsia"/>
          <w:color w:val="000000"/>
        </w:rPr>
        <w:t>24.第24行“（十二）不征税收入用于支出所形成的费用”：第3列“调增金额”填报符合条件的不征税收入用于支出所形成的计入当期损益的费用化支出金额。</w:t>
      </w:r>
    </w:p>
    <w:p>
      <w:pPr>
        <w:pStyle w:val="9"/>
        <w:rPr>
          <w:color w:val="000000"/>
        </w:rPr>
      </w:pPr>
      <w:r>
        <w:rPr>
          <w:rFonts w:hint="eastAsia"/>
          <w:color w:val="000000"/>
        </w:rPr>
        <w:t>25.第25行“其中：专项用途财政性资金用于支出所形成的费用”：根据《专项用途财政性资金纳税调整明细表》(A105040)填报。第3列“调增金额”为表A105040第7行第11列金额。</w:t>
      </w:r>
    </w:p>
    <w:p>
      <w:pPr>
        <w:pStyle w:val="9"/>
        <w:rPr>
          <w:color w:val="000000"/>
        </w:rPr>
      </w:pPr>
      <w:r>
        <w:rPr>
          <w:rFonts w:hint="eastAsia"/>
          <w:color w:val="000000"/>
        </w:rPr>
        <w:t>26.第26行“（十三）跨期扣除项目”：填报维简费、安全生产费用、预提费用、预计负债等跨期扣除项目调整情况。第1列“账载金额”填报纳税人会计核算计入当期损益的跨期扣除项目金额。第2列“税收金额”填报按照税收规定允许税前扣除的金额。若第1列≥第2列，将第1-2列余额填入第3列“调增金额”；若第1列＜第2列，将第1-2列余额的绝对值填入第4列“调减金额”。</w:t>
      </w:r>
    </w:p>
    <w:p>
      <w:pPr>
        <w:pStyle w:val="9"/>
        <w:rPr>
          <w:color w:val="000000"/>
        </w:rPr>
      </w:pPr>
      <w:r>
        <w:rPr>
          <w:rFonts w:hint="eastAsia"/>
          <w:color w:val="000000"/>
        </w:rPr>
        <w:t>27.第27行“（十四）与取得收入无关的支出”：第1列“账载金额”填报纳税人会计核算计入当期损益的与取得收入无关的支出的金额。第3列“调增金额”等于第1列金额。</w:t>
      </w:r>
    </w:p>
    <w:p>
      <w:pPr>
        <w:pStyle w:val="9"/>
        <w:rPr>
          <w:color w:val="000000"/>
        </w:rPr>
      </w:pPr>
      <w:r>
        <w:rPr>
          <w:rFonts w:hint="eastAsia"/>
          <w:color w:val="000000"/>
        </w:rPr>
        <w:t>28.第28行“（十五）境外所得分摊的共同支出”：第3列“调增金额”为《境外所得纳税调整后所得明细表》（A108010）第10行第16+17列的合计金额。</w:t>
      </w:r>
    </w:p>
    <w:p>
      <w:pPr>
        <w:pStyle w:val="9"/>
        <w:rPr>
          <w:color w:val="000000"/>
        </w:rPr>
      </w:pPr>
      <w:r>
        <w:rPr>
          <w:rFonts w:hint="eastAsia"/>
          <w:color w:val="000000"/>
        </w:rPr>
        <w:t>29.第29行“（十六）党组织工作经费”：填报纳税人根据有关文件规定，为创新基层党建工作、建立稳定的经费保障制度发生的党组织工作经费及纳税调整情况。</w:t>
      </w:r>
    </w:p>
    <w:p>
      <w:pPr>
        <w:pStyle w:val="9"/>
        <w:rPr>
          <w:color w:val="000000"/>
        </w:rPr>
      </w:pPr>
      <w:r>
        <w:rPr>
          <w:color w:val="000000"/>
        </w:rPr>
        <w:t>30</w:t>
      </w:r>
      <w:r>
        <w:rPr>
          <w:rFonts w:hint="eastAsia"/>
          <w:color w:val="000000"/>
        </w:rPr>
        <w:t>.第</w:t>
      </w:r>
      <w:r>
        <w:rPr>
          <w:color w:val="000000"/>
        </w:rPr>
        <w:t>30</w:t>
      </w:r>
      <w:r>
        <w:rPr>
          <w:rFonts w:hint="eastAsia"/>
          <w:color w:val="000000"/>
        </w:rPr>
        <w:t>行“（十七）其他”：填报其他因会计处理与税收规定有差异需纳税调整的扣除类项目金额。若第1列≥第2列，将第1-2列余额填入第3列“调增金额”；若第1列＜第2列，将第1-2列余额的绝对值填入第4列“调减金额”。</w:t>
      </w:r>
    </w:p>
    <w:p>
      <w:pPr>
        <w:pStyle w:val="12"/>
      </w:pPr>
      <w:r>
        <w:rPr>
          <w:rFonts w:hint="eastAsia"/>
        </w:rPr>
        <w:t>（三）资产类调整项目</w:t>
      </w:r>
    </w:p>
    <w:p>
      <w:pPr>
        <w:pStyle w:val="9"/>
        <w:rPr>
          <w:color w:val="000000"/>
        </w:rPr>
      </w:pPr>
      <w:r>
        <w:rPr>
          <w:rFonts w:hint="eastAsia"/>
          <w:color w:val="000000"/>
        </w:rPr>
        <w:t>3</w:t>
      </w:r>
      <w:r>
        <w:rPr>
          <w:color w:val="000000"/>
        </w:rPr>
        <w:t>1</w:t>
      </w:r>
      <w:r>
        <w:rPr>
          <w:rFonts w:hint="eastAsia"/>
          <w:color w:val="000000"/>
        </w:rPr>
        <w:t>.第3</w:t>
      </w:r>
      <w:r>
        <w:rPr>
          <w:color w:val="000000"/>
        </w:rPr>
        <w:t>1</w:t>
      </w:r>
      <w:r>
        <w:rPr>
          <w:rFonts w:hint="eastAsia"/>
          <w:color w:val="000000"/>
        </w:rPr>
        <w:t>行“三、资产类调整项目”：填报资产类调整项目第3</w:t>
      </w:r>
      <w:r>
        <w:rPr>
          <w:color w:val="000000"/>
        </w:rPr>
        <w:t>2</w:t>
      </w:r>
      <w:r>
        <w:rPr>
          <w:rFonts w:hint="eastAsia"/>
          <w:color w:val="000000"/>
        </w:rPr>
        <w:t>行至第3</w:t>
      </w:r>
      <w:r>
        <w:rPr>
          <w:color w:val="000000"/>
        </w:rPr>
        <w:t>5</w:t>
      </w:r>
      <w:r>
        <w:rPr>
          <w:rFonts w:hint="eastAsia"/>
          <w:color w:val="000000"/>
        </w:rPr>
        <w:t>行的合计金额。</w:t>
      </w:r>
    </w:p>
    <w:p>
      <w:pPr>
        <w:pStyle w:val="9"/>
        <w:rPr>
          <w:color w:val="000000"/>
        </w:rPr>
      </w:pPr>
      <w:r>
        <w:rPr>
          <w:rFonts w:hint="eastAsia"/>
          <w:color w:val="000000"/>
        </w:rPr>
        <w:t>3</w:t>
      </w:r>
      <w:r>
        <w:rPr>
          <w:color w:val="000000"/>
        </w:rPr>
        <w:t>2</w:t>
      </w:r>
      <w:r>
        <w:rPr>
          <w:rFonts w:hint="eastAsia"/>
          <w:color w:val="000000"/>
        </w:rPr>
        <w:t>.第3</w:t>
      </w:r>
      <w:r>
        <w:rPr>
          <w:color w:val="000000"/>
        </w:rPr>
        <w:t>2</w:t>
      </w:r>
      <w:r>
        <w:rPr>
          <w:rFonts w:hint="eastAsia"/>
          <w:color w:val="000000"/>
        </w:rPr>
        <w:t>行“（一）资产折旧、摊销”：根据《资产折旧、摊销及纳税调整明细表》(A105080)填报。第1列“账载金额”为表A105080第39行第2列金额。第2列“税收金额”为表A105080第39行第5列金额。表A105080第39行第9列，若≥0，填入本行第3列“调增金额”；若＜0，将绝对值填入本行第4列“调减金额”。</w:t>
      </w:r>
    </w:p>
    <w:p>
      <w:pPr>
        <w:pStyle w:val="9"/>
        <w:rPr>
          <w:color w:val="000000"/>
        </w:rPr>
      </w:pPr>
      <w:r>
        <w:rPr>
          <w:rFonts w:hint="eastAsia"/>
          <w:color w:val="000000"/>
        </w:rPr>
        <w:t>3</w:t>
      </w:r>
      <w:r>
        <w:rPr>
          <w:color w:val="000000"/>
        </w:rPr>
        <w:t>3</w:t>
      </w:r>
      <w:r>
        <w:rPr>
          <w:rFonts w:hint="eastAsia"/>
          <w:color w:val="000000"/>
        </w:rPr>
        <w:t>.第3</w:t>
      </w:r>
      <w:r>
        <w:rPr>
          <w:color w:val="000000"/>
        </w:rPr>
        <w:t>3</w:t>
      </w:r>
      <w:r>
        <w:rPr>
          <w:rFonts w:hint="eastAsia"/>
          <w:color w:val="000000"/>
        </w:rPr>
        <w:t>行“（二）资产减值准备金”：填报坏账准备、存货跌价准备、理赔费用准备金等不允许税前扣除的各类资产减值准备金纳税调整情况。第1列“账载金额”填报纳税人会计核算计入当期损益的资产减值准备金金额（因价值恢复等原因转回的资产减值准备金应予以冲回）。第1列，若≥0，填入第3列“调增金额”；若＜0，将绝对值填入第4列“调减金额”。</w:t>
      </w:r>
    </w:p>
    <w:p>
      <w:pPr>
        <w:pStyle w:val="9"/>
        <w:rPr>
          <w:color w:val="000000"/>
        </w:rPr>
      </w:pPr>
      <w:r>
        <w:rPr>
          <w:rFonts w:hint="eastAsia"/>
          <w:color w:val="000000"/>
        </w:rPr>
        <w:t>3</w:t>
      </w:r>
      <w:r>
        <w:rPr>
          <w:color w:val="000000"/>
        </w:rPr>
        <w:t>4</w:t>
      </w:r>
      <w:r>
        <w:rPr>
          <w:rFonts w:hint="eastAsia"/>
          <w:color w:val="000000"/>
        </w:rPr>
        <w:t>.第3</w:t>
      </w:r>
      <w:r>
        <w:rPr>
          <w:color w:val="000000"/>
        </w:rPr>
        <w:t>4</w:t>
      </w:r>
      <w:r>
        <w:rPr>
          <w:rFonts w:hint="eastAsia"/>
          <w:color w:val="000000"/>
        </w:rPr>
        <w:t>行“（三）资产损失”：根据《资产损失税前扣除及纳税调整明细表》(A105090)填报。第1列“账载金额”为表A105090第14行第</w:t>
      </w:r>
      <w:r>
        <w:rPr>
          <w:color w:val="000000"/>
        </w:rPr>
        <w:t>1</w:t>
      </w:r>
      <w:r>
        <w:rPr>
          <w:rFonts w:hint="eastAsia"/>
          <w:color w:val="000000"/>
        </w:rPr>
        <w:t>列金额。第2列“税收金额”为表A105090第14行第</w:t>
      </w:r>
      <w:r>
        <w:rPr>
          <w:color w:val="000000"/>
        </w:rPr>
        <w:t>5</w:t>
      </w:r>
      <w:r>
        <w:rPr>
          <w:rFonts w:hint="eastAsia"/>
          <w:color w:val="000000"/>
        </w:rPr>
        <w:t>列金额。表A105090第14行第</w:t>
      </w:r>
      <w:r>
        <w:rPr>
          <w:color w:val="000000"/>
        </w:rPr>
        <w:t>6</w:t>
      </w:r>
      <w:r>
        <w:rPr>
          <w:rFonts w:hint="eastAsia"/>
          <w:color w:val="000000"/>
        </w:rPr>
        <w:t>列，若≥0，填入本行第3列“调增金额”；若＜0，将绝对值填入本行第4列“调减金额”。</w:t>
      </w:r>
    </w:p>
    <w:p>
      <w:pPr>
        <w:pStyle w:val="9"/>
        <w:rPr>
          <w:color w:val="000000"/>
        </w:rPr>
      </w:pPr>
      <w:r>
        <w:rPr>
          <w:rFonts w:hint="eastAsia"/>
          <w:color w:val="000000"/>
        </w:rPr>
        <w:t>3</w:t>
      </w:r>
      <w:r>
        <w:rPr>
          <w:color w:val="000000"/>
        </w:rPr>
        <w:t>5</w:t>
      </w:r>
      <w:r>
        <w:rPr>
          <w:rFonts w:hint="eastAsia"/>
          <w:color w:val="000000"/>
        </w:rPr>
        <w:t>.第3</w:t>
      </w:r>
      <w:r>
        <w:rPr>
          <w:color w:val="000000"/>
        </w:rPr>
        <w:t>5</w:t>
      </w:r>
      <w:r>
        <w:rPr>
          <w:rFonts w:hint="eastAsia"/>
          <w:color w:val="000000"/>
        </w:rPr>
        <w:t>行“（四）其他”：填报其他因会计处理与税收规定有差异需纳税调整的资产类项目金额。若第1列≥第2列，将第1-2列余额填入第3列“调增金额”；若第1列＜第2列，将第1-2列余额的绝对值填入第4列“调减金额”。</w:t>
      </w:r>
    </w:p>
    <w:p>
      <w:pPr>
        <w:pStyle w:val="12"/>
        <w:rPr>
          <w:color w:val="000000"/>
        </w:rPr>
      </w:pPr>
      <w:r>
        <w:rPr>
          <w:rFonts w:hint="eastAsia"/>
          <w:color w:val="000000"/>
        </w:rPr>
        <w:t>（四）特殊事项调整项目</w:t>
      </w:r>
    </w:p>
    <w:p>
      <w:pPr>
        <w:pStyle w:val="9"/>
        <w:rPr>
          <w:color w:val="000000"/>
        </w:rPr>
      </w:pPr>
      <w:r>
        <w:rPr>
          <w:rFonts w:hint="eastAsia"/>
          <w:color w:val="000000"/>
        </w:rPr>
        <w:t>3</w:t>
      </w:r>
      <w:r>
        <w:rPr>
          <w:color w:val="000000"/>
        </w:rPr>
        <w:t>6</w:t>
      </w:r>
      <w:r>
        <w:rPr>
          <w:rFonts w:hint="eastAsia"/>
          <w:color w:val="000000"/>
        </w:rPr>
        <w:t>.第3</w:t>
      </w:r>
      <w:r>
        <w:rPr>
          <w:color w:val="000000"/>
        </w:rPr>
        <w:t>6</w:t>
      </w:r>
      <w:r>
        <w:rPr>
          <w:rFonts w:hint="eastAsia"/>
          <w:color w:val="000000"/>
        </w:rPr>
        <w:t>行“四、特殊事项调整项目”：填报特殊事项调整项目第3</w:t>
      </w:r>
      <w:r>
        <w:rPr>
          <w:color w:val="000000"/>
        </w:rPr>
        <w:t>7</w:t>
      </w:r>
      <w:r>
        <w:rPr>
          <w:rFonts w:hint="eastAsia"/>
          <w:color w:val="000000"/>
        </w:rPr>
        <w:t>行至第4</w:t>
      </w:r>
      <w:r>
        <w:rPr>
          <w:color w:val="000000"/>
        </w:rPr>
        <w:t>2</w:t>
      </w:r>
      <w:r>
        <w:rPr>
          <w:rFonts w:hint="eastAsia"/>
          <w:color w:val="000000"/>
        </w:rPr>
        <w:t>行的合计金额。</w:t>
      </w:r>
    </w:p>
    <w:p>
      <w:pPr>
        <w:pStyle w:val="9"/>
        <w:rPr>
          <w:color w:val="000000"/>
        </w:rPr>
      </w:pPr>
      <w:r>
        <w:rPr>
          <w:rFonts w:hint="eastAsia"/>
          <w:color w:val="000000"/>
        </w:rPr>
        <w:t>3</w:t>
      </w:r>
      <w:r>
        <w:rPr>
          <w:color w:val="000000"/>
        </w:rPr>
        <w:t>7</w:t>
      </w:r>
      <w:r>
        <w:rPr>
          <w:rFonts w:hint="eastAsia"/>
          <w:color w:val="000000"/>
        </w:rPr>
        <w:t>.第3</w:t>
      </w:r>
      <w:r>
        <w:rPr>
          <w:color w:val="000000"/>
        </w:rPr>
        <w:t>7</w:t>
      </w:r>
      <w:r>
        <w:rPr>
          <w:rFonts w:hint="eastAsia"/>
          <w:color w:val="000000"/>
        </w:rPr>
        <w:t>行“（一）企业重组及递延纳税事项”：根据《企业重组及递延纳税事项纳税调整明细表》(A105100)填报。第1列“账载金额”为表A105100第16行第1+4列金额。第2列“税收金额”为表A105100第16行第2+5列金额。表A105100第1</w:t>
      </w:r>
      <w:r>
        <w:rPr>
          <w:color w:val="000000"/>
        </w:rPr>
        <w:t>6</w:t>
      </w:r>
      <w:r>
        <w:rPr>
          <w:rFonts w:hint="eastAsia"/>
          <w:color w:val="000000"/>
        </w:rPr>
        <w:t>行第7列，若≥0，填入本行第3列“调增金额”；若＜0，将绝对值填入本行第4列“调减金额”。</w:t>
      </w:r>
    </w:p>
    <w:p>
      <w:pPr>
        <w:pStyle w:val="9"/>
        <w:rPr>
          <w:color w:val="000000"/>
        </w:rPr>
      </w:pPr>
      <w:r>
        <w:rPr>
          <w:rFonts w:hint="eastAsia"/>
          <w:color w:val="000000"/>
        </w:rPr>
        <w:t>3</w:t>
      </w:r>
      <w:r>
        <w:rPr>
          <w:color w:val="000000"/>
        </w:rPr>
        <w:t>8</w:t>
      </w:r>
      <w:r>
        <w:rPr>
          <w:rFonts w:hint="eastAsia"/>
          <w:color w:val="000000"/>
        </w:rPr>
        <w:t>.第3</w:t>
      </w:r>
      <w:r>
        <w:rPr>
          <w:color w:val="000000"/>
        </w:rPr>
        <w:t>8</w:t>
      </w:r>
      <w:r>
        <w:rPr>
          <w:rFonts w:hint="eastAsia"/>
          <w:color w:val="000000"/>
        </w:rPr>
        <w:t>行“（二）政策性搬迁”：根据《政策性搬迁纳税调整明细表》(A105110)填报。表A105110第24行，若≥0，填入本行第3列“调增金额”；若＜0，将绝对值填入本行第4列“调减金额”。</w:t>
      </w:r>
    </w:p>
    <w:p>
      <w:pPr>
        <w:pStyle w:val="9"/>
        <w:rPr>
          <w:color w:val="000000"/>
        </w:rPr>
      </w:pPr>
      <w:r>
        <w:rPr>
          <w:rFonts w:hint="eastAsia"/>
          <w:color w:val="000000"/>
        </w:rPr>
        <w:t>3</w:t>
      </w:r>
      <w:r>
        <w:rPr>
          <w:color w:val="000000"/>
        </w:rPr>
        <w:t>9</w:t>
      </w:r>
      <w:r>
        <w:rPr>
          <w:rFonts w:hint="eastAsia"/>
          <w:color w:val="000000"/>
        </w:rPr>
        <w:t>.第3</w:t>
      </w:r>
      <w:r>
        <w:rPr>
          <w:color w:val="000000"/>
        </w:rPr>
        <w:t>9</w:t>
      </w:r>
      <w:r>
        <w:rPr>
          <w:rFonts w:hint="eastAsia"/>
          <w:color w:val="000000"/>
        </w:rPr>
        <w:t>行“（三）特殊行业准备金”：根据《特殊行业准备金及纳税调整明细表》(A105120)填报。第1列“账载金额”为表A105120第43行第1列金额。第2列“税收金额”为表A105120第43行第2列金额。表A105120第43行第3列，若≥0，填入本行第3列“调增金额”；若＜0，将绝对值填入本行第4列“调减金额”。</w:t>
      </w:r>
    </w:p>
    <w:p>
      <w:pPr>
        <w:pStyle w:val="9"/>
        <w:rPr>
          <w:color w:val="000000"/>
        </w:rPr>
      </w:pPr>
      <w:r>
        <w:rPr>
          <w:color w:val="000000"/>
        </w:rPr>
        <w:t>40</w:t>
      </w:r>
      <w:r>
        <w:rPr>
          <w:rFonts w:hint="eastAsia"/>
          <w:color w:val="000000"/>
        </w:rPr>
        <w:t>.第</w:t>
      </w:r>
      <w:r>
        <w:rPr>
          <w:color w:val="000000"/>
        </w:rPr>
        <w:t>40</w:t>
      </w:r>
      <w:r>
        <w:rPr>
          <w:rFonts w:hint="eastAsia"/>
          <w:color w:val="000000"/>
        </w:rPr>
        <w:t>行“（四）房地产开发企业特定业务计算的纳税调整额”：根据《视同销售和房地产开发企业特定业务纳税调整明细表》(A105010)填报。第2列“税收金额”为表A105010第21行第1列金额。表A105010第21行第2列，若≥0，填入本行第3列“调增金额”；若＜0，将绝对值填入本行第4列“调减金额”。</w:t>
      </w:r>
    </w:p>
    <w:p>
      <w:pPr>
        <w:pStyle w:val="9"/>
        <w:rPr>
          <w:color w:val="000000"/>
        </w:rPr>
      </w:pPr>
      <w:r>
        <w:rPr>
          <w:rFonts w:hint="eastAsia"/>
          <w:color w:val="000000"/>
        </w:rPr>
        <w:t>4</w:t>
      </w:r>
      <w:r>
        <w:rPr>
          <w:color w:val="000000"/>
        </w:rPr>
        <w:t>1</w:t>
      </w:r>
      <w:r>
        <w:rPr>
          <w:rFonts w:hint="eastAsia"/>
          <w:color w:val="000000"/>
        </w:rPr>
        <w:t>.第4</w:t>
      </w:r>
      <w:r>
        <w:rPr>
          <w:color w:val="000000"/>
        </w:rPr>
        <w:t>1</w:t>
      </w:r>
      <w:r>
        <w:rPr>
          <w:rFonts w:hint="eastAsia"/>
          <w:color w:val="000000"/>
        </w:rPr>
        <w:t>行“（五）有限合伙企业法人合伙方分得的应纳税所得额”：第1列“账载金额”填报有限合伙企业法人合伙方本年会计核算上确认的对有限合伙企业的投资所得；第2列“税收金额”填报纳税人按照“先分后税”原则和《财政部 国家税务总局关于合伙企业合伙人所得税问题的通知》（财税〔2008〕159号）文件第四条规定计算的从合伙企业分得的法人合伙方应纳税所得额；若第1列≤第2列，将第</w:t>
      </w:r>
      <w:r>
        <w:rPr>
          <w:color w:val="000000"/>
        </w:rPr>
        <w:t>2</w:t>
      </w:r>
      <w:r>
        <w:rPr>
          <w:rFonts w:hint="eastAsia"/>
          <w:color w:val="000000"/>
        </w:rPr>
        <w:t>-</w:t>
      </w:r>
      <w:r>
        <w:rPr>
          <w:color w:val="000000"/>
        </w:rPr>
        <w:t>1</w:t>
      </w:r>
      <w:r>
        <w:rPr>
          <w:rFonts w:hint="eastAsia"/>
          <w:color w:val="000000"/>
        </w:rPr>
        <w:t>列余额填入第</w:t>
      </w:r>
      <w:r>
        <w:rPr>
          <w:color w:val="000000"/>
        </w:rPr>
        <w:t>3</w:t>
      </w:r>
      <w:r>
        <w:rPr>
          <w:rFonts w:hint="eastAsia"/>
          <w:color w:val="000000"/>
        </w:rPr>
        <w:t>列“调增金额”，若第1列＞第2列，将第</w:t>
      </w:r>
      <w:r>
        <w:rPr>
          <w:color w:val="000000"/>
        </w:rPr>
        <w:t>2</w:t>
      </w:r>
      <w:r>
        <w:rPr>
          <w:rFonts w:hint="eastAsia"/>
          <w:color w:val="000000"/>
        </w:rPr>
        <w:t>-</w:t>
      </w:r>
      <w:r>
        <w:rPr>
          <w:color w:val="000000"/>
        </w:rPr>
        <w:t>1</w:t>
      </w:r>
      <w:r>
        <w:rPr>
          <w:rFonts w:hint="eastAsia"/>
          <w:color w:val="000000"/>
        </w:rPr>
        <w:t>列余额的绝对值填入第</w:t>
      </w:r>
      <w:r>
        <w:rPr>
          <w:color w:val="000000"/>
        </w:rPr>
        <w:t>4</w:t>
      </w:r>
      <w:r>
        <w:rPr>
          <w:rFonts w:hint="eastAsia"/>
          <w:color w:val="000000"/>
        </w:rPr>
        <w:t>列“调减金额”。</w:t>
      </w:r>
    </w:p>
    <w:p>
      <w:pPr>
        <w:pStyle w:val="9"/>
        <w:rPr>
          <w:color w:val="000000"/>
        </w:rPr>
      </w:pPr>
      <w:r>
        <w:rPr>
          <w:rFonts w:hint="eastAsia"/>
          <w:color w:val="000000"/>
        </w:rPr>
        <w:t>4</w:t>
      </w:r>
      <w:r>
        <w:rPr>
          <w:color w:val="000000"/>
        </w:rPr>
        <w:t>2</w:t>
      </w:r>
      <w:r>
        <w:rPr>
          <w:rFonts w:hint="eastAsia"/>
          <w:color w:val="000000"/>
        </w:rPr>
        <w:t>.第4</w:t>
      </w:r>
      <w:r>
        <w:rPr>
          <w:color w:val="000000"/>
        </w:rPr>
        <w:t>2</w:t>
      </w:r>
      <w:r>
        <w:rPr>
          <w:rFonts w:hint="eastAsia"/>
          <w:color w:val="000000"/>
        </w:rPr>
        <w:t>行“（六）其他”：填报其他因会计处理与税收规定有差异需纳税调整的特殊事项金额。</w:t>
      </w:r>
    </w:p>
    <w:p>
      <w:pPr>
        <w:pStyle w:val="12"/>
      </w:pPr>
      <w:r>
        <w:rPr>
          <w:rFonts w:hint="eastAsia"/>
        </w:rPr>
        <w:t>（五）特殊纳税调整所得项目</w:t>
      </w:r>
    </w:p>
    <w:p>
      <w:pPr>
        <w:pStyle w:val="9"/>
        <w:rPr>
          <w:color w:val="000000"/>
        </w:rPr>
      </w:pPr>
      <w:r>
        <w:rPr>
          <w:rFonts w:hint="eastAsia"/>
          <w:color w:val="000000"/>
        </w:rPr>
        <w:t>4</w:t>
      </w:r>
      <w:r>
        <w:rPr>
          <w:color w:val="000000"/>
        </w:rPr>
        <w:t>3</w:t>
      </w:r>
      <w:r>
        <w:rPr>
          <w:rFonts w:hint="eastAsia"/>
          <w:color w:val="000000"/>
        </w:rPr>
        <w:t>.第4</w:t>
      </w:r>
      <w:r>
        <w:rPr>
          <w:color w:val="000000"/>
        </w:rPr>
        <w:t>3</w:t>
      </w:r>
      <w:r>
        <w:rPr>
          <w:rFonts w:hint="eastAsia"/>
          <w:color w:val="000000"/>
        </w:rPr>
        <w:t>行“五、特别纳税调整应税所得”：第3列“调增金额”填报纳税人按特别纳税调整规定自行调增的当年应税所得。第4列“调减金额”填报纳税人依据双边预约定价安排或者转让定价相应调整磋商结果的通知，需要调减的当年应税所得。</w:t>
      </w:r>
    </w:p>
    <w:p>
      <w:pPr>
        <w:pStyle w:val="12"/>
      </w:pPr>
      <w:r>
        <w:rPr>
          <w:rFonts w:hint="eastAsia"/>
        </w:rPr>
        <w:t>（六）其他</w:t>
      </w:r>
    </w:p>
    <w:p>
      <w:pPr>
        <w:pStyle w:val="9"/>
        <w:rPr>
          <w:color w:val="000000"/>
        </w:rPr>
      </w:pPr>
      <w:r>
        <w:rPr>
          <w:rFonts w:hint="eastAsia"/>
          <w:color w:val="000000"/>
        </w:rPr>
        <w:t>4</w:t>
      </w:r>
      <w:r>
        <w:rPr>
          <w:color w:val="000000"/>
        </w:rPr>
        <w:t>4</w:t>
      </w:r>
      <w:r>
        <w:rPr>
          <w:rFonts w:hint="eastAsia"/>
          <w:color w:val="000000"/>
        </w:rPr>
        <w:t>.第4</w:t>
      </w:r>
      <w:r>
        <w:rPr>
          <w:color w:val="000000"/>
        </w:rPr>
        <w:t>4</w:t>
      </w:r>
      <w:r>
        <w:rPr>
          <w:rFonts w:hint="eastAsia"/>
          <w:color w:val="000000"/>
        </w:rPr>
        <w:t>行“六、其他”：其他会计处理与税收规定存在差异需纳税调整的项目金额。</w:t>
      </w:r>
    </w:p>
    <w:p>
      <w:pPr>
        <w:pStyle w:val="9"/>
        <w:rPr>
          <w:color w:val="000000"/>
        </w:rPr>
      </w:pPr>
      <w:r>
        <w:rPr>
          <w:rFonts w:hint="eastAsia"/>
          <w:color w:val="000000"/>
        </w:rPr>
        <w:t>4</w:t>
      </w:r>
      <w:r>
        <w:rPr>
          <w:color w:val="000000"/>
        </w:rPr>
        <w:t>5</w:t>
      </w:r>
      <w:r>
        <w:rPr>
          <w:rFonts w:hint="eastAsia"/>
          <w:color w:val="000000"/>
        </w:rPr>
        <w:t>.第4</w:t>
      </w:r>
      <w:r>
        <w:rPr>
          <w:color w:val="000000"/>
        </w:rPr>
        <w:t>5</w:t>
      </w:r>
      <w:r>
        <w:rPr>
          <w:rFonts w:hint="eastAsia"/>
          <w:color w:val="000000"/>
        </w:rPr>
        <w:t>行“合计”：填报第1+12+3</w:t>
      </w:r>
      <w:r>
        <w:rPr>
          <w:color w:val="000000"/>
        </w:rPr>
        <w:t>1</w:t>
      </w:r>
      <w:r>
        <w:rPr>
          <w:rFonts w:hint="eastAsia"/>
          <w:color w:val="000000"/>
        </w:rPr>
        <w:t>+3</w:t>
      </w:r>
      <w:r>
        <w:rPr>
          <w:color w:val="000000"/>
        </w:rPr>
        <w:t>6</w:t>
      </w:r>
      <w:r>
        <w:rPr>
          <w:rFonts w:hint="eastAsia"/>
          <w:color w:val="000000"/>
        </w:rPr>
        <w:t>+4</w:t>
      </w:r>
      <w:r>
        <w:rPr>
          <w:color w:val="000000"/>
        </w:rPr>
        <w:t>3</w:t>
      </w:r>
      <w:r>
        <w:rPr>
          <w:rFonts w:hint="eastAsia"/>
          <w:color w:val="000000"/>
        </w:rPr>
        <w:t>+4</w:t>
      </w:r>
      <w:r>
        <w:rPr>
          <w:color w:val="000000"/>
        </w:rPr>
        <w:t>4</w:t>
      </w:r>
      <w:r>
        <w:rPr>
          <w:rFonts w:hint="eastAsia"/>
          <w:color w:val="000000"/>
        </w:rPr>
        <w:t>行的合计金额。</w:t>
      </w:r>
    </w:p>
    <w:p>
      <w:pPr>
        <w:pStyle w:val="11"/>
        <w:ind w:firstLine="482"/>
      </w:pPr>
      <w:r>
        <w:rPr>
          <w:rFonts w:hint="eastAsia"/>
        </w:rPr>
        <w:t>二、表内、表间关系</w:t>
      </w:r>
    </w:p>
    <w:p>
      <w:pPr>
        <w:pStyle w:val="12"/>
        <w:rPr>
          <w:color w:val="000000"/>
        </w:rPr>
      </w:pPr>
      <w:r>
        <w:rPr>
          <w:rFonts w:hint="eastAsia"/>
          <w:color w:val="000000"/>
        </w:rPr>
        <w:t>（一）表内关系</w:t>
      </w:r>
    </w:p>
    <w:p>
      <w:pPr>
        <w:pStyle w:val="9"/>
        <w:rPr>
          <w:color w:val="000000"/>
        </w:rPr>
      </w:pPr>
      <w:r>
        <w:rPr>
          <w:rFonts w:hint="eastAsia"/>
          <w:color w:val="000000"/>
        </w:rPr>
        <w:t>1.第1行＝第2+3+4+5+6+7+8+10+11行。</w:t>
      </w:r>
    </w:p>
    <w:p>
      <w:pPr>
        <w:pStyle w:val="9"/>
        <w:rPr>
          <w:color w:val="000000"/>
        </w:rPr>
      </w:pPr>
      <w:r>
        <w:rPr>
          <w:rFonts w:hint="eastAsia"/>
          <w:color w:val="000000"/>
        </w:rPr>
        <w:t>2.第12行＝第13+14+…+23+24+26+27+28+29+</w:t>
      </w:r>
      <w:r>
        <w:rPr>
          <w:color w:val="000000"/>
        </w:rPr>
        <w:t>30</w:t>
      </w:r>
      <w:r>
        <w:rPr>
          <w:rFonts w:hint="eastAsia"/>
          <w:color w:val="000000"/>
        </w:rPr>
        <w:t>行。</w:t>
      </w:r>
    </w:p>
    <w:p>
      <w:pPr>
        <w:pStyle w:val="9"/>
        <w:rPr>
          <w:color w:val="000000"/>
        </w:rPr>
      </w:pPr>
      <w:r>
        <w:rPr>
          <w:rFonts w:hint="eastAsia"/>
          <w:color w:val="000000"/>
        </w:rPr>
        <w:t>3.第3</w:t>
      </w:r>
      <w:r>
        <w:rPr>
          <w:color w:val="000000"/>
        </w:rPr>
        <w:t>1</w:t>
      </w:r>
      <w:r>
        <w:rPr>
          <w:rFonts w:hint="eastAsia"/>
          <w:color w:val="000000"/>
        </w:rPr>
        <w:t>行＝第3</w:t>
      </w:r>
      <w:r>
        <w:rPr>
          <w:color w:val="000000"/>
        </w:rPr>
        <w:t>2</w:t>
      </w:r>
      <w:r>
        <w:rPr>
          <w:rFonts w:hint="eastAsia"/>
          <w:color w:val="000000"/>
        </w:rPr>
        <w:t>+3</w:t>
      </w:r>
      <w:r>
        <w:rPr>
          <w:color w:val="000000"/>
        </w:rPr>
        <w:t>3</w:t>
      </w:r>
      <w:r>
        <w:rPr>
          <w:rFonts w:hint="eastAsia"/>
          <w:color w:val="000000"/>
        </w:rPr>
        <w:t>+3</w:t>
      </w:r>
      <w:r>
        <w:rPr>
          <w:color w:val="000000"/>
        </w:rPr>
        <w:t>4</w:t>
      </w:r>
      <w:r>
        <w:rPr>
          <w:rFonts w:hint="eastAsia"/>
          <w:color w:val="000000"/>
        </w:rPr>
        <w:t>+3</w:t>
      </w:r>
      <w:r>
        <w:rPr>
          <w:color w:val="000000"/>
        </w:rPr>
        <w:t>5</w:t>
      </w:r>
      <w:r>
        <w:rPr>
          <w:rFonts w:hint="eastAsia"/>
          <w:color w:val="000000"/>
        </w:rPr>
        <w:t>行。</w:t>
      </w:r>
    </w:p>
    <w:p>
      <w:pPr>
        <w:pStyle w:val="9"/>
        <w:rPr>
          <w:color w:val="000000"/>
        </w:rPr>
      </w:pPr>
      <w:r>
        <w:rPr>
          <w:rFonts w:hint="eastAsia"/>
          <w:color w:val="000000"/>
        </w:rPr>
        <w:t>4.第3</w:t>
      </w:r>
      <w:r>
        <w:rPr>
          <w:color w:val="000000"/>
        </w:rPr>
        <w:t>6</w:t>
      </w:r>
      <w:r>
        <w:rPr>
          <w:rFonts w:hint="eastAsia"/>
          <w:color w:val="000000"/>
        </w:rPr>
        <w:t>行＝第37+38+39+40+41+</w:t>
      </w:r>
      <w:r>
        <w:rPr>
          <w:color w:val="000000"/>
        </w:rPr>
        <w:t>42</w:t>
      </w:r>
      <w:r>
        <w:rPr>
          <w:rFonts w:hint="eastAsia"/>
          <w:color w:val="000000"/>
        </w:rPr>
        <w:t>行。</w:t>
      </w:r>
    </w:p>
    <w:p>
      <w:pPr>
        <w:pStyle w:val="9"/>
        <w:rPr>
          <w:color w:val="000000"/>
        </w:rPr>
      </w:pPr>
      <w:r>
        <w:rPr>
          <w:rFonts w:hint="eastAsia"/>
          <w:color w:val="000000"/>
        </w:rPr>
        <w:t>5.第4</w:t>
      </w:r>
      <w:r>
        <w:rPr>
          <w:color w:val="000000"/>
        </w:rPr>
        <w:t>5</w:t>
      </w:r>
      <w:r>
        <w:rPr>
          <w:rFonts w:hint="eastAsia"/>
          <w:color w:val="000000"/>
        </w:rPr>
        <w:t>行＝第1+12+3</w:t>
      </w:r>
      <w:r>
        <w:rPr>
          <w:color w:val="000000"/>
        </w:rPr>
        <w:t>1</w:t>
      </w:r>
      <w:r>
        <w:rPr>
          <w:rFonts w:hint="eastAsia"/>
          <w:color w:val="000000"/>
        </w:rPr>
        <w:t>+3</w:t>
      </w:r>
      <w:r>
        <w:rPr>
          <w:color w:val="000000"/>
        </w:rPr>
        <w:t>6</w:t>
      </w:r>
      <w:r>
        <w:rPr>
          <w:rFonts w:hint="eastAsia"/>
          <w:color w:val="000000"/>
        </w:rPr>
        <w:t>+4</w:t>
      </w:r>
      <w:r>
        <w:rPr>
          <w:color w:val="000000"/>
        </w:rPr>
        <w:t>3</w:t>
      </w:r>
      <w:r>
        <w:rPr>
          <w:rFonts w:hint="eastAsia"/>
          <w:color w:val="000000"/>
        </w:rPr>
        <w:t>+4</w:t>
      </w:r>
      <w:r>
        <w:rPr>
          <w:color w:val="000000"/>
        </w:rPr>
        <w:t>4</w:t>
      </w:r>
      <w:r>
        <w:rPr>
          <w:rFonts w:hint="eastAsia"/>
          <w:color w:val="000000"/>
        </w:rPr>
        <w:t>行。</w:t>
      </w:r>
    </w:p>
    <w:p>
      <w:pPr>
        <w:pStyle w:val="12"/>
      </w:pPr>
      <w:r>
        <w:rPr>
          <w:rFonts w:hint="eastAsia"/>
        </w:rPr>
        <w:t>（二）表间关系</w:t>
      </w:r>
    </w:p>
    <w:p>
      <w:pPr>
        <w:pStyle w:val="9"/>
        <w:rPr>
          <w:color w:val="000000"/>
        </w:rPr>
      </w:pPr>
      <w:r>
        <w:rPr>
          <w:rFonts w:hint="eastAsia"/>
          <w:color w:val="000000"/>
        </w:rPr>
        <w:t>1.第2行第2列＝表A105010第1行第1列；第2行第3列＝表A105010第1行第2列。</w:t>
      </w:r>
    </w:p>
    <w:p>
      <w:pPr>
        <w:pStyle w:val="9"/>
        <w:rPr>
          <w:color w:val="000000"/>
        </w:rPr>
      </w:pPr>
      <w:r>
        <w:rPr>
          <w:rFonts w:hint="eastAsia"/>
          <w:color w:val="000000"/>
        </w:rPr>
        <w:t>2.第3行第1列＝表A105020第14行第2列；第3行第2列＝表A105020第14行第4列；若表A105020第14行第6列≥0，第3行第3列＝表A105020第14行第6列；若表A105020第14行第6列＜0，第3行第3列＝表A105020第14行第6列的绝对值。</w:t>
      </w:r>
    </w:p>
    <w:p>
      <w:pPr>
        <w:pStyle w:val="9"/>
        <w:rPr>
          <w:color w:val="000000"/>
        </w:rPr>
      </w:pPr>
      <w:r>
        <w:rPr>
          <w:rFonts w:hint="eastAsia"/>
          <w:color w:val="000000"/>
        </w:rPr>
        <w:t>3.第4行第1列＝表A105030第10行第1+8列；第4行第2列＝表A105030第10行第2+9列；若表A105030第10行第11列≥0，第4行第3列＝表A105030第10行第11列；若表A105030第10行第11列＜0，第4行第4列＝表A105030第10行第11列的绝对值。</w:t>
      </w:r>
    </w:p>
    <w:p>
      <w:pPr>
        <w:pStyle w:val="9"/>
        <w:rPr>
          <w:color w:val="000000"/>
        </w:rPr>
      </w:pPr>
      <w:r>
        <w:rPr>
          <w:rFonts w:hint="eastAsia"/>
          <w:color w:val="000000"/>
        </w:rPr>
        <w:t>4.第9行第3列＝表A105040第7行第14列；第9行第4列＝表A105040第7行第4列。</w:t>
      </w:r>
    </w:p>
    <w:p>
      <w:pPr>
        <w:pStyle w:val="9"/>
        <w:rPr>
          <w:color w:val="000000"/>
        </w:rPr>
      </w:pPr>
      <w:r>
        <w:rPr>
          <w:rFonts w:hint="eastAsia"/>
          <w:color w:val="000000"/>
        </w:rPr>
        <w:t>5.第13行第2列＝表A105010第11行第1列；第13行第4列＝表A105010第11行第2列的绝对值。</w:t>
      </w:r>
    </w:p>
    <w:p>
      <w:pPr>
        <w:pStyle w:val="9"/>
        <w:rPr>
          <w:color w:val="000000"/>
        </w:rPr>
      </w:pPr>
      <w:r>
        <w:rPr>
          <w:rFonts w:hint="eastAsia"/>
          <w:color w:val="000000"/>
        </w:rPr>
        <w:t>6.第14行第1列＝表A105050第1</w:t>
      </w:r>
      <w:r>
        <w:rPr>
          <w:color w:val="000000"/>
        </w:rPr>
        <w:t>3</w:t>
      </w:r>
      <w:r>
        <w:rPr>
          <w:rFonts w:hint="eastAsia"/>
          <w:color w:val="000000"/>
        </w:rPr>
        <w:t>行第1列；第14行第2列＝表A105050第1</w:t>
      </w:r>
      <w:r>
        <w:rPr>
          <w:color w:val="000000"/>
        </w:rPr>
        <w:t>3</w:t>
      </w:r>
      <w:r>
        <w:rPr>
          <w:rFonts w:hint="eastAsia"/>
          <w:color w:val="000000"/>
        </w:rPr>
        <w:t>行第5列；若表A105050第1</w:t>
      </w:r>
      <w:r>
        <w:rPr>
          <w:color w:val="000000"/>
        </w:rPr>
        <w:t>3</w:t>
      </w:r>
      <w:r>
        <w:rPr>
          <w:rFonts w:hint="eastAsia"/>
          <w:color w:val="000000"/>
        </w:rPr>
        <w:t>行第6列≥0，第14行第3列＝表A105050第1</w:t>
      </w:r>
      <w:r>
        <w:rPr>
          <w:color w:val="000000"/>
        </w:rPr>
        <w:t>3</w:t>
      </w:r>
      <w:r>
        <w:rPr>
          <w:rFonts w:hint="eastAsia"/>
          <w:color w:val="000000"/>
        </w:rPr>
        <w:t>行第6列；若表A105050第1</w:t>
      </w:r>
      <w:r>
        <w:rPr>
          <w:color w:val="000000"/>
        </w:rPr>
        <w:t>3</w:t>
      </w:r>
      <w:r>
        <w:rPr>
          <w:rFonts w:hint="eastAsia"/>
          <w:color w:val="000000"/>
        </w:rPr>
        <w:t>行第6列＜0，第14行第4列＝表A105050第1</w:t>
      </w:r>
      <w:r>
        <w:rPr>
          <w:color w:val="000000"/>
        </w:rPr>
        <w:t>3</w:t>
      </w:r>
      <w:r>
        <w:rPr>
          <w:rFonts w:hint="eastAsia"/>
          <w:color w:val="000000"/>
        </w:rPr>
        <w:t>行第6列的绝对值。</w:t>
      </w:r>
    </w:p>
    <w:p>
      <w:pPr>
        <w:pStyle w:val="9"/>
        <w:rPr>
          <w:color w:val="000000"/>
        </w:rPr>
      </w:pPr>
      <w:r>
        <w:rPr>
          <w:rFonts w:hint="eastAsia"/>
          <w:color w:val="000000"/>
        </w:rPr>
        <w:t>7.若表A105060第12行≥0，第16行第3列＝表A105060第12行，若表A105060第12行＜0，第16行第4列＝表A105060第12行的绝对值。</w:t>
      </w:r>
    </w:p>
    <w:p>
      <w:pPr>
        <w:pStyle w:val="9"/>
        <w:rPr>
          <w:color w:val="000000"/>
        </w:rPr>
      </w:pPr>
      <w:r>
        <w:rPr>
          <w:rFonts w:hint="eastAsia"/>
          <w:color w:val="000000"/>
        </w:rPr>
        <w:t>8.第17行第1列＝表A105070第8行第1列；第17行第2列＝表A105070第8行第4列；第17行第3列＝表A105070第8行第5列；第17行第4列＝表A105070第8行第6列。</w:t>
      </w:r>
    </w:p>
    <w:p>
      <w:pPr>
        <w:pStyle w:val="9"/>
        <w:rPr>
          <w:color w:val="000000"/>
        </w:rPr>
      </w:pPr>
      <w:r>
        <w:rPr>
          <w:rFonts w:hint="eastAsia"/>
          <w:color w:val="000000"/>
        </w:rPr>
        <w:t>9.第25行第3列＝表A105040第7行第11列。</w:t>
      </w:r>
    </w:p>
    <w:p>
      <w:pPr>
        <w:pStyle w:val="9"/>
        <w:rPr>
          <w:color w:val="000000"/>
        </w:rPr>
      </w:pPr>
      <w:r>
        <w:rPr>
          <w:rFonts w:hint="eastAsia"/>
          <w:color w:val="000000"/>
        </w:rPr>
        <w:t>10.第28行第3列＝表A108010第10行第16+17列。</w:t>
      </w:r>
    </w:p>
    <w:p>
      <w:pPr>
        <w:pStyle w:val="9"/>
        <w:rPr>
          <w:color w:val="000000"/>
        </w:rPr>
      </w:pPr>
      <w:r>
        <w:rPr>
          <w:rFonts w:hint="eastAsia"/>
          <w:color w:val="000000"/>
        </w:rPr>
        <w:t>11.第3</w:t>
      </w:r>
      <w:r>
        <w:rPr>
          <w:color w:val="000000"/>
        </w:rPr>
        <w:t>2</w:t>
      </w:r>
      <w:r>
        <w:rPr>
          <w:rFonts w:hint="eastAsia"/>
          <w:color w:val="000000"/>
        </w:rPr>
        <w:t>行第1列＝表A105080第39行第2列；第3</w:t>
      </w:r>
      <w:r>
        <w:rPr>
          <w:color w:val="000000"/>
        </w:rPr>
        <w:t>2</w:t>
      </w:r>
      <w:r>
        <w:rPr>
          <w:rFonts w:hint="eastAsia"/>
          <w:color w:val="000000"/>
        </w:rPr>
        <w:t>行第2列＝表A105080第39行第5列；若表A105080第39行第9列≥0，第3</w:t>
      </w:r>
      <w:r>
        <w:rPr>
          <w:color w:val="000000"/>
        </w:rPr>
        <w:t>2</w:t>
      </w:r>
      <w:r>
        <w:rPr>
          <w:rFonts w:hint="eastAsia"/>
          <w:color w:val="000000"/>
        </w:rPr>
        <w:t>行第3列＝表A105080第39行第9列，若表A105080第39行第9列＜0，第3</w:t>
      </w:r>
      <w:r>
        <w:rPr>
          <w:color w:val="000000"/>
        </w:rPr>
        <w:t>2</w:t>
      </w:r>
      <w:r>
        <w:rPr>
          <w:rFonts w:hint="eastAsia"/>
          <w:color w:val="000000"/>
        </w:rPr>
        <w:t>行第4列＝表A105080第39行第9列的绝对值。</w:t>
      </w:r>
    </w:p>
    <w:p>
      <w:pPr>
        <w:pStyle w:val="9"/>
        <w:rPr>
          <w:color w:val="000000"/>
        </w:rPr>
      </w:pPr>
      <w:r>
        <w:rPr>
          <w:rFonts w:hint="eastAsia"/>
          <w:color w:val="000000"/>
        </w:rPr>
        <w:t>1</w:t>
      </w:r>
      <w:r>
        <w:rPr>
          <w:color w:val="000000"/>
        </w:rPr>
        <w:t>2</w:t>
      </w:r>
      <w:r>
        <w:rPr>
          <w:rFonts w:hint="eastAsia"/>
          <w:color w:val="000000"/>
        </w:rPr>
        <w:t>.第3</w:t>
      </w:r>
      <w:r>
        <w:rPr>
          <w:color w:val="000000"/>
        </w:rPr>
        <w:t>4</w:t>
      </w:r>
      <w:r>
        <w:rPr>
          <w:rFonts w:hint="eastAsia"/>
          <w:color w:val="000000"/>
        </w:rPr>
        <w:t>行第1列＝表A105090</w:t>
      </w:r>
      <w:r>
        <w:rPr>
          <w:rFonts w:hint="eastAsia"/>
        </w:rPr>
        <w:t>第14行</w:t>
      </w:r>
      <w:r>
        <w:rPr>
          <w:rFonts w:hint="eastAsia"/>
          <w:color w:val="000000"/>
        </w:rPr>
        <w:t>第</w:t>
      </w:r>
      <w:r>
        <w:rPr>
          <w:color w:val="000000"/>
        </w:rPr>
        <w:t>1</w:t>
      </w:r>
      <w:r>
        <w:rPr>
          <w:rFonts w:hint="eastAsia"/>
          <w:color w:val="000000"/>
        </w:rPr>
        <w:t>列；第3</w:t>
      </w:r>
      <w:r>
        <w:rPr>
          <w:color w:val="000000"/>
        </w:rPr>
        <w:t>4</w:t>
      </w:r>
      <w:r>
        <w:rPr>
          <w:rFonts w:hint="eastAsia"/>
          <w:color w:val="000000"/>
        </w:rPr>
        <w:t>行第2列＝表A105090第14行第</w:t>
      </w:r>
      <w:r>
        <w:rPr>
          <w:color w:val="000000"/>
        </w:rPr>
        <w:t>5</w:t>
      </w:r>
      <w:r>
        <w:rPr>
          <w:rFonts w:hint="eastAsia"/>
          <w:color w:val="000000"/>
        </w:rPr>
        <w:t>列；若表A105090第14行第</w:t>
      </w:r>
      <w:r>
        <w:rPr>
          <w:color w:val="000000"/>
        </w:rPr>
        <w:t>6</w:t>
      </w:r>
      <w:r>
        <w:rPr>
          <w:rFonts w:hint="eastAsia"/>
          <w:color w:val="000000"/>
        </w:rPr>
        <w:t>列≥0，第3</w:t>
      </w:r>
      <w:r>
        <w:rPr>
          <w:color w:val="000000"/>
        </w:rPr>
        <w:t>4</w:t>
      </w:r>
      <w:r>
        <w:rPr>
          <w:rFonts w:hint="eastAsia"/>
          <w:color w:val="000000"/>
        </w:rPr>
        <w:t>行第3列＝表A105090第14行第</w:t>
      </w:r>
      <w:r>
        <w:rPr>
          <w:color w:val="000000"/>
        </w:rPr>
        <w:t>6</w:t>
      </w:r>
      <w:r>
        <w:rPr>
          <w:rFonts w:hint="eastAsia"/>
          <w:color w:val="000000"/>
        </w:rPr>
        <w:t>列，若表A105090第1</w:t>
      </w:r>
      <w:r>
        <w:rPr>
          <w:color w:val="000000"/>
        </w:rPr>
        <w:t>4</w:t>
      </w:r>
      <w:r>
        <w:rPr>
          <w:rFonts w:hint="eastAsia"/>
          <w:color w:val="000000"/>
        </w:rPr>
        <w:t>行第</w:t>
      </w:r>
      <w:r>
        <w:rPr>
          <w:color w:val="000000"/>
        </w:rPr>
        <w:t>6</w:t>
      </w:r>
      <w:r>
        <w:rPr>
          <w:rFonts w:hint="eastAsia"/>
          <w:color w:val="000000"/>
        </w:rPr>
        <w:t>列＜0，第3</w:t>
      </w:r>
      <w:r>
        <w:rPr>
          <w:color w:val="000000"/>
        </w:rPr>
        <w:t>4</w:t>
      </w:r>
      <w:r>
        <w:rPr>
          <w:rFonts w:hint="eastAsia"/>
          <w:color w:val="000000"/>
        </w:rPr>
        <w:t>行第4列＝表A105090第14行第</w:t>
      </w:r>
      <w:r>
        <w:rPr>
          <w:color w:val="000000"/>
        </w:rPr>
        <w:t>6</w:t>
      </w:r>
      <w:r>
        <w:rPr>
          <w:rFonts w:hint="eastAsia"/>
          <w:color w:val="000000"/>
        </w:rPr>
        <w:t>列的绝对值。</w:t>
      </w:r>
    </w:p>
    <w:p>
      <w:pPr>
        <w:pStyle w:val="9"/>
        <w:rPr>
          <w:color w:val="000000"/>
        </w:rPr>
      </w:pPr>
      <w:r>
        <w:rPr>
          <w:rFonts w:hint="eastAsia"/>
          <w:color w:val="000000"/>
        </w:rPr>
        <w:t>13.第3</w:t>
      </w:r>
      <w:r>
        <w:rPr>
          <w:color w:val="000000"/>
        </w:rPr>
        <w:t>7</w:t>
      </w:r>
      <w:r>
        <w:rPr>
          <w:rFonts w:hint="eastAsia"/>
          <w:color w:val="000000"/>
        </w:rPr>
        <w:t>行第1列＝表A105100第</w:t>
      </w:r>
      <w:r>
        <w:rPr>
          <w:color w:val="000000"/>
        </w:rPr>
        <w:t>16</w:t>
      </w:r>
      <w:r>
        <w:rPr>
          <w:rFonts w:hint="eastAsia"/>
          <w:color w:val="000000"/>
        </w:rPr>
        <w:t>行第1+4列；第3</w:t>
      </w:r>
      <w:r>
        <w:rPr>
          <w:color w:val="000000"/>
        </w:rPr>
        <w:t>7</w:t>
      </w:r>
      <w:r>
        <w:rPr>
          <w:rFonts w:hint="eastAsia"/>
          <w:color w:val="000000"/>
        </w:rPr>
        <w:t>行第2列＝表A105100第16行第2+5列；若表A105100第16行第7列≥0，第3</w:t>
      </w:r>
      <w:r>
        <w:rPr>
          <w:color w:val="000000"/>
        </w:rPr>
        <w:t>7</w:t>
      </w:r>
      <w:r>
        <w:rPr>
          <w:rFonts w:hint="eastAsia"/>
          <w:color w:val="000000"/>
        </w:rPr>
        <w:t>行第3列＝表A105100第16行第7列，若表A105100第16行第7列＜0，第3</w:t>
      </w:r>
      <w:r>
        <w:rPr>
          <w:color w:val="000000"/>
        </w:rPr>
        <w:t>7</w:t>
      </w:r>
      <w:r>
        <w:rPr>
          <w:rFonts w:hint="eastAsia"/>
          <w:color w:val="000000"/>
        </w:rPr>
        <w:t>行第4列＝表A105100第16行第7列的绝对值。</w:t>
      </w:r>
    </w:p>
    <w:p>
      <w:pPr>
        <w:pStyle w:val="9"/>
        <w:rPr>
          <w:color w:val="000000"/>
        </w:rPr>
      </w:pPr>
      <w:r>
        <w:rPr>
          <w:rFonts w:hint="eastAsia"/>
          <w:color w:val="000000"/>
        </w:rPr>
        <w:t>14.若表A105110第24行≥0，第3</w:t>
      </w:r>
      <w:r>
        <w:rPr>
          <w:color w:val="000000"/>
        </w:rPr>
        <w:t>8</w:t>
      </w:r>
      <w:r>
        <w:rPr>
          <w:rFonts w:hint="eastAsia"/>
          <w:color w:val="000000"/>
        </w:rPr>
        <w:t>行第3列＝表A105110第24行，若表A105110第24行＜0，第3</w:t>
      </w:r>
      <w:r>
        <w:rPr>
          <w:color w:val="000000"/>
        </w:rPr>
        <w:t>8</w:t>
      </w:r>
      <w:r>
        <w:rPr>
          <w:rFonts w:hint="eastAsia"/>
          <w:color w:val="000000"/>
        </w:rPr>
        <w:t>行第4列＝表A105110第24行的绝对值。</w:t>
      </w:r>
    </w:p>
    <w:p>
      <w:pPr>
        <w:pStyle w:val="9"/>
        <w:rPr>
          <w:color w:val="000000"/>
        </w:rPr>
      </w:pPr>
      <w:r>
        <w:rPr>
          <w:rFonts w:hint="eastAsia"/>
          <w:color w:val="000000"/>
        </w:rPr>
        <w:t>15.第3</w:t>
      </w:r>
      <w:r>
        <w:rPr>
          <w:color w:val="000000"/>
        </w:rPr>
        <w:t>9</w:t>
      </w:r>
      <w:r>
        <w:rPr>
          <w:rFonts w:hint="eastAsia"/>
          <w:color w:val="000000"/>
        </w:rPr>
        <w:t>行第1列＝表A105120第43行第1列；第3</w:t>
      </w:r>
      <w:r>
        <w:rPr>
          <w:color w:val="000000"/>
        </w:rPr>
        <w:t>9</w:t>
      </w:r>
      <w:r>
        <w:rPr>
          <w:rFonts w:hint="eastAsia"/>
          <w:color w:val="000000"/>
        </w:rPr>
        <w:t>行第2列＝表A105120第43行第2列；若表A105120第43行第3列≥0，第3</w:t>
      </w:r>
      <w:r>
        <w:rPr>
          <w:color w:val="000000"/>
        </w:rPr>
        <w:t>9</w:t>
      </w:r>
      <w:r>
        <w:rPr>
          <w:rFonts w:hint="eastAsia"/>
          <w:color w:val="000000"/>
        </w:rPr>
        <w:t>行第3列＝表A105120第43行第3列，若表A105120第43行第3列＜0，第3</w:t>
      </w:r>
      <w:r>
        <w:rPr>
          <w:color w:val="000000"/>
        </w:rPr>
        <w:t>9</w:t>
      </w:r>
      <w:r>
        <w:rPr>
          <w:rFonts w:hint="eastAsia"/>
          <w:color w:val="000000"/>
        </w:rPr>
        <w:t>行第4列＝表A105120第43行第3列的绝对值。</w:t>
      </w:r>
    </w:p>
    <w:p>
      <w:pPr>
        <w:pStyle w:val="9"/>
        <w:rPr>
          <w:color w:val="000000"/>
        </w:rPr>
      </w:pPr>
      <w:r>
        <w:rPr>
          <w:rFonts w:hint="eastAsia"/>
          <w:color w:val="000000"/>
        </w:rPr>
        <w:t>16.第</w:t>
      </w:r>
      <w:r>
        <w:rPr>
          <w:color w:val="000000"/>
        </w:rPr>
        <w:t>40</w:t>
      </w:r>
      <w:r>
        <w:rPr>
          <w:rFonts w:hint="eastAsia"/>
          <w:color w:val="000000"/>
        </w:rPr>
        <w:t>行第2列＝表A105010第21行第1列；若表A105010第21行第2列≥0，第</w:t>
      </w:r>
      <w:r>
        <w:rPr>
          <w:color w:val="000000"/>
        </w:rPr>
        <w:t>40</w:t>
      </w:r>
      <w:r>
        <w:rPr>
          <w:rFonts w:hint="eastAsia"/>
          <w:color w:val="000000"/>
        </w:rPr>
        <w:t>行第3列＝表A105010第21行第1列，若表A105010第21行第2列＜0，第</w:t>
      </w:r>
      <w:r>
        <w:rPr>
          <w:color w:val="000000"/>
        </w:rPr>
        <w:t>40</w:t>
      </w:r>
      <w:r>
        <w:rPr>
          <w:rFonts w:hint="eastAsia"/>
          <w:color w:val="000000"/>
        </w:rPr>
        <w:t>行第4列＝表A105010第21行第1列的绝对值。</w:t>
      </w:r>
    </w:p>
    <w:p>
      <w:pPr>
        <w:pStyle w:val="9"/>
        <w:rPr>
          <w:color w:val="000000"/>
        </w:rPr>
        <w:sectPr>
          <w:pgSz w:w="11906" w:h="16838"/>
          <w:pgMar w:top="1985" w:right="1418" w:bottom="1928" w:left="1418" w:header="851" w:footer="992" w:gutter="113"/>
          <w:cols w:space="425" w:num="1"/>
          <w:docGrid w:linePitch="312" w:charSpace="0"/>
        </w:sectPr>
      </w:pPr>
      <w:r>
        <w:rPr>
          <w:rFonts w:hint="eastAsia"/>
          <w:color w:val="000000"/>
        </w:rPr>
        <w:t>17.第</w:t>
      </w:r>
      <w:r>
        <w:rPr>
          <w:color w:val="000000"/>
        </w:rPr>
        <w:t>45</w:t>
      </w:r>
      <w:r>
        <w:rPr>
          <w:rFonts w:hint="eastAsia"/>
          <w:color w:val="000000"/>
        </w:rPr>
        <w:t>行第3列＝表A100000第15行；第</w:t>
      </w:r>
      <w:r>
        <w:rPr>
          <w:color w:val="000000"/>
        </w:rPr>
        <w:t>45</w:t>
      </w:r>
      <w:r>
        <w:rPr>
          <w:rFonts w:hint="eastAsia"/>
          <w:color w:val="000000"/>
        </w:rPr>
        <w:t>行第4列＝表A100000第16行。</w:t>
      </w:r>
    </w:p>
    <w:p>
      <w:pPr>
        <w:pStyle w:val="10"/>
      </w:pPr>
      <w:bookmarkStart w:id="44" w:name="_Toc499456571"/>
      <w:r>
        <w:rPr>
          <w:rFonts w:hint="eastAsia"/>
        </w:rPr>
        <w:t>A105010</w:t>
      </w:r>
      <w:r>
        <w:tab/>
      </w:r>
      <w:r>
        <w:rPr>
          <w:rFonts w:hint="eastAsia"/>
        </w:rPr>
        <w:t>视同销售和房地产开发企业特定业务纳税调整明细表</w:t>
      </w:r>
      <w:bookmarkEnd w:id="44"/>
    </w:p>
    <w:tbl>
      <w:tblPr>
        <w:tblStyle w:val="7"/>
        <w:tblW w:w="98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6520"/>
        <w:gridCol w:w="126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652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spacing w:val="500"/>
                <w:kern w:val="0"/>
                <w:sz w:val="20"/>
                <w:szCs w:val="20"/>
                <w:fitText w:val="1400" w:id="6"/>
              </w:rPr>
              <w:t>项</w:t>
            </w:r>
            <w:r>
              <w:rPr>
                <w:rFonts w:hint="eastAsia" w:ascii="宋体" w:hAnsi="宋体" w:cs="宋体"/>
                <w:kern w:val="0"/>
                <w:sz w:val="20"/>
                <w:szCs w:val="20"/>
                <w:fitText w:val="1400" w:id="6"/>
              </w:rPr>
              <w:t>目</w:t>
            </w:r>
          </w:p>
        </w:tc>
        <w:tc>
          <w:tcPr>
            <w:tcW w:w="12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税收金额</w:t>
            </w:r>
          </w:p>
        </w:tc>
        <w:tc>
          <w:tcPr>
            <w:tcW w:w="14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纳税调整金额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vMerge w:val="continue"/>
            <w:shd w:val="clear" w:color="auto" w:fill="auto"/>
            <w:vAlign w:val="center"/>
          </w:tcPr>
          <w:p>
            <w:pPr>
              <w:widowControl/>
              <w:jc w:val="left"/>
              <w:rPr>
                <w:rFonts w:ascii="宋体" w:hAnsi="宋体" w:cs="宋体"/>
                <w:kern w:val="0"/>
                <w:sz w:val="20"/>
                <w:szCs w:val="20"/>
              </w:rPr>
            </w:pPr>
          </w:p>
        </w:tc>
        <w:tc>
          <w:tcPr>
            <w:tcW w:w="6520" w:type="dxa"/>
            <w:vMerge w:val="continue"/>
            <w:shd w:val="clear" w:color="auto" w:fill="auto"/>
            <w:vAlign w:val="center"/>
          </w:tcPr>
          <w:p>
            <w:pPr>
              <w:widowControl/>
              <w:jc w:val="left"/>
              <w:rPr>
                <w:rFonts w:ascii="宋体" w:hAnsi="宋体" w:cs="宋体"/>
                <w:kern w:val="0"/>
                <w:sz w:val="20"/>
                <w:szCs w:val="20"/>
              </w:rPr>
            </w:pPr>
          </w:p>
        </w:tc>
        <w:tc>
          <w:tcPr>
            <w:tcW w:w="12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65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一、视同销售（营业）收入（2+3+4+5+6+7+8+9+10）</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652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（一）非货币性资产交换视同销售收入</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652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（二）用于市场推广或销售视同销售收入</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652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（三）用于交际应酬视同销售收入</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652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（四）用于职工奖励或福利视同销售收入</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652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（五）用于股息分配视同销售收入</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652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（六）用于对外捐赠视同销售收入</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652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（七）用于对外投资项目视同销售收入</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652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（八）提供劳务视同销售收入</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652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（九）其他</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65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二、视同销售（营业）成本（12+13+14+15+16+17+18+19+20）</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652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（一）非货币性资产交换视同销售成本</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652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（二）用于市场推广或销售视同销售成本</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652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（三）用于交际应酬视同销售成本</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652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（四）用于职工奖励或福利视同销售成本</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652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（五）用于股息分配视同销售成本</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652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（六）用于对外捐赠视同销售成本</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652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（七）用于对外投资项目视同销售成本</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652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（八）提供劳务视同销售成本</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652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（九）其他</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65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三、房地产开发企业特定业务计算的纳税调整额（22-26）</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6520" w:type="dxa"/>
            <w:vMerge w:val="restart"/>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（一）房地产企业销售未完工开发产品特定业务计算的纳税调整额（24-25）</w:t>
            </w:r>
          </w:p>
        </w:tc>
        <w:tc>
          <w:tcPr>
            <w:tcW w:w="1260" w:type="dxa"/>
            <w:vMerge w:val="restart"/>
            <w:shd w:val="clear" w:color="auto" w:fill="auto"/>
            <w:vAlign w:val="center"/>
          </w:tcPr>
          <w:p>
            <w:pPr>
              <w:widowControl/>
              <w:jc w:val="center"/>
              <w:rPr>
                <w:rFonts w:ascii="宋体" w:hAnsi="宋体" w:cs="宋体"/>
                <w:kern w:val="0"/>
                <w:sz w:val="20"/>
                <w:szCs w:val="20"/>
              </w:rPr>
            </w:pPr>
          </w:p>
        </w:tc>
        <w:tc>
          <w:tcPr>
            <w:tcW w:w="1440" w:type="dxa"/>
            <w:vMerge w:val="restart"/>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vMerge w:val="continue"/>
            <w:vAlign w:val="center"/>
          </w:tcPr>
          <w:p>
            <w:pPr>
              <w:widowControl/>
              <w:jc w:val="left"/>
              <w:rPr>
                <w:rFonts w:ascii="宋体" w:hAnsi="宋体" w:cs="宋体"/>
                <w:kern w:val="0"/>
                <w:sz w:val="20"/>
                <w:szCs w:val="20"/>
              </w:rPr>
            </w:pPr>
          </w:p>
        </w:tc>
        <w:tc>
          <w:tcPr>
            <w:tcW w:w="6520" w:type="dxa"/>
            <w:vMerge w:val="continue"/>
            <w:vAlign w:val="center"/>
          </w:tcPr>
          <w:p>
            <w:pPr>
              <w:widowControl/>
              <w:jc w:val="left"/>
              <w:rPr>
                <w:rFonts w:ascii="宋体" w:hAnsi="宋体" w:cs="宋体"/>
                <w:kern w:val="0"/>
                <w:sz w:val="20"/>
                <w:szCs w:val="20"/>
              </w:rPr>
            </w:pPr>
          </w:p>
        </w:tc>
        <w:tc>
          <w:tcPr>
            <w:tcW w:w="1260" w:type="dxa"/>
            <w:vMerge w:val="continue"/>
            <w:vAlign w:val="center"/>
          </w:tcPr>
          <w:p>
            <w:pPr>
              <w:widowControl/>
              <w:jc w:val="center"/>
              <w:rPr>
                <w:rFonts w:ascii="宋体" w:hAnsi="宋体" w:cs="宋体"/>
                <w:kern w:val="0"/>
                <w:sz w:val="20"/>
                <w:szCs w:val="20"/>
              </w:rPr>
            </w:pPr>
          </w:p>
        </w:tc>
        <w:tc>
          <w:tcPr>
            <w:tcW w:w="1440" w:type="dxa"/>
            <w:vMerge w:val="continue"/>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6520" w:type="dxa"/>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1.销售未完工产品的收入</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6520" w:type="dxa"/>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2.销售未完工产品预计毛利额</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6520" w:type="dxa"/>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3.实际发生的税金及附加、土地增值税</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652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（二）房地产企业销售的未完工产品转完工产品特定业务计算的纳税调整额（28-29）</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6520" w:type="dxa"/>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1.销售未完工产品转完工产品确认的销售收入</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6520" w:type="dxa"/>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2.转回的销售未完工产品预计毛利额</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6520" w:type="dxa"/>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3.转回实际发生的税金及附加、土地增值税</w:t>
            </w:r>
          </w:p>
        </w:tc>
        <w:tc>
          <w:tcPr>
            <w:tcW w:w="1260" w:type="dxa"/>
            <w:shd w:val="clear" w:color="auto" w:fill="auto"/>
            <w:vAlign w:val="center"/>
          </w:tcPr>
          <w:p>
            <w:pPr>
              <w:widowControl/>
              <w:jc w:val="center"/>
              <w:rPr>
                <w:rFonts w:ascii="宋体" w:hAnsi="宋体" w:cs="宋体"/>
                <w:kern w:val="0"/>
                <w:sz w:val="20"/>
                <w:szCs w:val="20"/>
              </w:rPr>
            </w:pPr>
          </w:p>
        </w:tc>
        <w:tc>
          <w:tcPr>
            <w:tcW w:w="1440" w:type="dxa"/>
            <w:shd w:val="clear" w:color="auto" w:fill="auto"/>
            <w:vAlign w:val="center"/>
          </w:tcPr>
          <w:p>
            <w:pPr>
              <w:widowControl/>
              <w:jc w:val="center"/>
              <w:rPr>
                <w:rFonts w:ascii="宋体" w:hAnsi="宋体" w:cs="宋体"/>
                <w:kern w:val="0"/>
                <w:sz w:val="20"/>
                <w:szCs w:val="20"/>
              </w:rPr>
            </w:pPr>
          </w:p>
        </w:tc>
      </w:tr>
    </w:tbl>
    <w:p>
      <w:pPr>
        <w:pStyle w:val="9"/>
      </w:pPr>
    </w:p>
    <w:p>
      <w:pPr>
        <w:pStyle w:val="10"/>
        <w:sectPr>
          <w:pgSz w:w="11906" w:h="16838"/>
          <w:pgMar w:top="1985" w:right="1418" w:bottom="1361" w:left="1418" w:header="851" w:footer="992" w:gutter="113"/>
          <w:cols w:space="425" w:num="1"/>
          <w:docGrid w:linePitch="312" w:charSpace="0"/>
        </w:sectPr>
      </w:pPr>
    </w:p>
    <w:p>
      <w:pPr>
        <w:pStyle w:val="8"/>
        <w:spacing w:before="240" w:after="360"/>
        <w:rPr>
          <w:color w:val="000000"/>
        </w:rPr>
      </w:pPr>
      <w:bookmarkStart w:id="45" w:name="_Toc499456572"/>
      <w:r>
        <w:rPr>
          <w:rFonts w:hint="eastAsia"/>
          <w:color w:val="000000"/>
        </w:rPr>
        <w:t>A105010</w:t>
      </w:r>
      <w:r>
        <w:rPr>
          <w:color w:val="000000"/>
        </w:rPr>
        <w:tab/>
      </w:r>
      <w:r>
        <w:rPr>
          <w:rFonts w:hint="eastAsia"/>
          <w:color w:val="000000"/>
        </w:rPr>
        <w:t>《视同销售和房地产开发企业特定业务纳税调整明细表》</w:t>
      </w:r>
      <w:r>
        <w:rPr>
          <w:color w:val="000000"/>
        </w:rPr>
        <w:br w:type="textWrapping"/>
      </w:r>
      <w:r>
        <w:rPr>
          <w:rFonts w:hint="eastAsia"/>
          <w:color w:val="000000"/>
        </w:rPr>
        <w:t>填报说明</w:t>
      </w:r>
      <w:bookmarkEnd w:id="45"/>
    </w:p>
    <w:p>
      <w:pPr>
        <w:pStyle w:val="9"/>
        <w:rPr>
          <w:color w:val="000000"/>
        </w:rPr>
      </w:pPr>
      <w:r>
        <w:rPr>
          <w:rFonts w:hint="eastAsia"/>
          <w:color w:val="000000"/>
        </w:rPr>
        <w:t>本表适用于发生视同销售、房地产企业特定业务纳税调整项目的纳税人填报。纳税人根据税法、《国家税务总局关于企业处置资产所得税处理问题的通知》（</w:t>
      </w:r>
      <w:r>
        <w:rPr>
          <w:color w:val="000000"/>
        </w:rPr>
        <w:t>国税函〔2008〕828号</w:t>
      </w:r>
      <w:r>
        <w:rPr>
          <w:rFonts w:hint="eastAsia"/>
          <w:color w:val="000000"/>
        </w:rPr>
        <w:t>）、</w:t>
      </w:r>
      <w:r>
        <w:rPr>
          <w:color w:val="000000"/>
        </w:rPr>
        <w:t>《</w:t>
      </w:r>
      <w:r>
        <w:rPr>
          <w:rFonts w:hint="eastAsia"/>
          <w:color w:val="000000"/>
        </w:rPr>
        <w:t>国家税务总局关于印发〈房地产开发经营业务企业所得税处理办法〉的通知</w:t>
      </w:r>
      <w:r>
        <w:rPr>
          <w:color w:val="000000"/>
        </w:rPr>
        <w:t>》</w:t>
      </w:r>
      <w:r>
        <w:rPr>
          <w:rFonts w:hint="eastAsia"/>
          <w:color w:val="000000"/>
        </w:rPr>
        <w:t>（国税发〔2009〕31号）、《国家税务总局关于企业所得税有关问题的公告》（国家税务总局公告2016年第80号）等相关规定，以及国家统一企业会计制度，填报视同销售行为、房地产企业销售未完工产品、未完工产品转完工产品特定业务的税收规定及纳税调整情况。</w:t>
      </w:r>
    </w:p>
    <w:p>
      <w:pPr>
        <w:pStyle w:val="11"/>
        <w:ind w:firstLine="482"/>
      </w:pPr>
      <w:r>
        <w:rPr>
          <w:rFonts w:hint="eastAsia"/>
        </w:rPr>
        <w:t>一、有关项目填报说明</w:t>
      </w:r>
    </w:p>
    <w:p>
      <w:pPr>
        <w:pStyle w:val="9"/>
        <w:rPr>
          <w:color w:val="000000"/>
        </w:rPr>
      </w:pPr>
      <w:r>
        <w:rPr>
          <w:rFonts w:hint="eastAsia"/>
          <w:color w:val="000000"/>
        </w:rPr>
        <w:t>1.第1行“一、视同销售收入”：填报会计处理不确认销售收入，而税收规定确认为应税收入的金额，本行为第2行至第10行小计数。第1列“税收金额”填报税收确认的应税收入金额；第2列“纳税调整金额”等于第1列“税收金额”。</w:t>
      </w:r>
    </w:p>
    <w:p>
      <w:pPr>
        <w:pStyle w:val="9"/>
        <w:rPr>
          <w:color w:val="000000"/>
        </w:rPr>
      </w:pPr>
      <w:r>
        <w:rPr>
          <w:rFonts w:hint="eastAsia"/>
          <w:color w:val="000000"/>
        </w:rPr>
        <w:t>2.第2行“（一）非货币性资产交换视同销售收入”：填报发生非货币性资产交换业务，会计处理不确认销售收入，而税收规定确认为应税收入的金额。第1列“税收金额”填报税收确认的应税收入金额；第2列“纳税调整金额”等于第1列“税收金额”。</w:t>
      </w:r>
    </w:p>
    <w:p>
      <w:pPr>
        <w:pStyle w:val="9"/>
        <w:rPr>
          <w:color w:val="000000"/>
        </w:rPr>
      </w:pPr>
      <w:r>
        <w:rPr>
          <w:rFonts w:hint="eastAsia"/>
          <w:color w:val="000000"/>
        </w:rPr>
        <w:t>3.第3行“（二）用于市场推广或销售视同销售收入”：填报发生将货物、财产用于市场推广、广告、样品、集资、销售等，会计处理不确认销售收入，而税收规定确认为应税收入的金额。填列方法同第2行。</w:t>
      </w:r>
    </w:p>
    <w:p>
      <w:pPr>
        <w:pStyle w:val="9"/>
        <w:rPr>
          <w:color w:val="000000"/>
        </w:rPr>
      </w:pPr>
      <w:r>
        <w:rPr>
          <w:rFonts w:hint="eastAsia"/>
          <w:color w:val="000000"/>
        </w:rPr>
        <w:t>4.第4行“（三）用于交际应酬视同销售收入”：填报发生将货物、财产用于交际应酬，会计处理不确认销售收入，而税收规定确认为应税收入的金额。填列方法同第2行。</w:t>
      </w:r>
    </w:p>
    <w:p>
      <w:pPr>
        <w:pStyle w:val="9"/>
        <w:rPr>
          <w:color w:val="000000"/>
        </w:rPr>
      </w:pPr>
      <w:r>
        <w:rPr>
          <w:rFonts w:hint="eastAsia"/>
          <w:color w:val="000000"/>
        </w:rPr>
        <w:t>5.第5行“（四）用于职工奖励或福利视同销售收入”：填报发生将货物、财产用于职工奖励或福利，会计处理不确认销售收入，而税收规定确认为应税收入的金额。企业外购资产或服务不以销售为目的，用于替代职工福利费用支出，且购置后在一个纳税年度内处置的，以公允价值确定视同销售收入。填列方法同第2行。</w:t>
      </w:r>
    </w:p>
    <w:p>
      <w:pPr>
        <w:pStyle w:val="9"/>
        <w:rPr>
          <w:color w:val="000000"/>
        </w:rPr>
      </w:pPr>
      <w:r>
        <w:rPr>
          <w:rFonts w:hint="eastAsia"/>
          <w:color w:val="000000"/>
        </w:rPr>
        <w:t>6.第6行“（五）用于股息分配视同销售收入”：填报发生将货物、财产用于股息分配，会计处理不确认销售收入，而税收规定确认为应税收入的金额。填列方法同第2行。</w:t>
      </w:r>
    </w:p>
    <w:p>
      <w:pPr>
        <w:pStyle w:val="9"/>
        <w:rPr>
          <w:color w:val="000000"/>
        </w:rPr>
      </w:pPr>
      <w:r>
        <w:rPr>
          <w:rFonts w:hint="eastAsia"/>
          <w:color w:val="000000"/>
        </w:rPr>
        <w:t>7.第7行“（六）用于对外捐赠视同销售收入”：填报发生将货物、财产用于对外捐赠或赞助，会计处理不确认销售收入，而税收规定确认为应税收入的金额。填列方法同第2行。</w:t>
      </w:r>
    </w:p>
    <w:p>
      <w:pPr>
        <w:pStyle w:val="9"/>
        <w:rPr>
          <w:color w:val="000000"/>
        </w:rPr>
      </w:pPr>
      <w:r>
        <w:rPr>
          <w:rFonts w:hint="eastAsia"/>
          <w:color w:val="000000"/>
        </w:rPr>
        <w:t>8.第8行“（七）用于对外投资项目视同销售收入”：填报发生将货物、财产用于对外投资，会计处理不确认销售收入，而税收规定确认为应税收入的金额。填列方法同第2行。</w:t>
      </w:r>
    </w:p>
    <w:p>
      <w:pPr>
        <w:pStyle w:val="9"/>
        <w:rPr>
          <w:color w:val="000000"/>
        </w:rPr>
      </w:pPr>
      <w:r>
        <w:rPr>
          <w:rFonts w:hint="eastAsia"/>
          <w:color w:val="000000"/>
        </w:rPr>
        <w:t>9.第9行“（八）提供劳务视同销售收入”：填报发生对外提供劳务，会计处理不确认销售收入，而税收规定确认为应税收入的金额。填列方法同第2行。</w:t>
      </w:r>
    </w:p>
    <w:p>
      <w:pPr>
        <w:pStyle w:val="9"/>
        <w:rPr>
          <w:color w:val="000000"/>
        </w:rPr>
      </w:pPr>
      <w:r>
        <w:rPr>
          <w:rFonts w:hint="eastAsia"/>
          <w:color w:val="000000"/>
        </w:rPr>
        <w:t>10.第10行“（九）其他”：填报发生除上述列举情形外，会计处理不作为销售收入核算，而税收规定确认为应税收入的金额。填列方法同第2行。</w:t>
      </w:r>
    </w:p>
    <w:p>
      <w:pPr>
        <w:pStyle w:val="9"/>
        <w:rPr>
          <w:color w:val="000000"/>
        </w:rPr>
      </w:pPr>
      <w:r>
        <w:rPr>
          <w:rFonts w:hint="eastAsia"/>
          <w:color w:val="000000"/>
        </w:rPr>
        <w:t>11.第11行“一、视同销售成本”：填报会计处理不确认销售收入，税收规定确认为应税收入对应的视同销售成本金额。本行为第12行至第20行小计数。第1列“税收金额”填报予以税前扣除的视同销售成本金额；将第1列税收金额以负数形式填报第2列“纳税调整金额”。</w:t>
      </w:r>
    </w:p>
    <w:p>
      <w:pPr>
        <w:pStyle w:val="9"/>
        <w:rPr>
          <w:color w:val="000000"/>
        </w:rPr>
      </w:pPr>
      <w:r>
        <w:rPr>
          <w:rFonts w:hint="eastAsia"/>
          <w:color w:val="000000"/>
        </w:rPr>
        <w:t>12.第12行“（一）非货币性资产交换视同销售成本”：填报发生非货币性资产交换业务，会计处理不确认销售收入，税收规定确认为应税收入所对应的应予以税前扣除的视同销售成本金额。第1列“税收金额”填报予以扣除的视同销售成本金额；将第1列税收金额以负数形式填报第2列“纳税调整金额”。</w:t>
      </w:r>
    </w:p>
    <w:p>
      <w:pPr>
        <w:pStyle w:val="9"/>
        <w:rPr>
          <w:color w:val="000000"/>
        </w:rPr>
      </w:pPr>
      <w:r>
        <w:rPr>
          <w:rFonts w:hint="eastAsia"/>
          <w:color w:val="000000"/>
        </w:rPr>
        <w:t>13.第13行“（二）用于市场推广或销售视同销售成本”：填报发生将货物、财产用于市场推广、广告、样品、集资、销售等，会计处理不确认销售收入，税收规定确认为应税收入时，其对应的应予以税前扣除的视同销售成本金额。填列方法同第12行。</w:t>
      </w:r>
    </w:p>
    <w:p>
      <w:pPr>
        <w:pStyle w:val="9"/>
        <w:rPr>
          <w:color w:val="000000"/>
        </w:rPr>
      </w:pPr>
      <w:r>
        <w:rPr>
          <w:rFonts w:hint="eastAsia"/>
          <w:color w:val="000000"/>
        </w:rPr>
        <w:t>14.第14行“（三）用于交际应酬视同销售成本”：填报发生将货物、财产用于交际应酬，会计处理不确认销售收入，税收规定确认为应税收入时，其对应的应予以税前扣除的视同销售成本金额。填列方法同第12行。</w:t>
      </w:r>
    </w:p>
    <w:p>
      <w:pPr>
        <w:pStyle w:val="9"/>
        <w:rPr>
          <w:color w:val="000000"/>
        </w:rPr>
      </w:pPr>
      <w:r>
        <w:rPr>
          <w:rFonts w:hint="eastAsia"/>
          <w:color w:val="000000"/>
        </w:rPr>
        <w:t>15.第15行“（四）用于职工奖励或福利视同销售成本”：填报发生将货物、财产用于职工奖励或福利，会计处理不确认销售收入，税收规定确认为应税收入时，其对应的应予以税前扣除的视同销售成本金额。填列方法同第12行。</w:t>
      </w:r>
    </w:p>
    <w:p>
      <w:pPr>
        <w:pStyle w:val="9"/>
        <w:rPr>
          <w:color w:val="000000"/>
        </w:rPr>
      </w:pPr>
      <w:r>
        <w:rPr>
          <w:rFonts w:hint="eastAsia"/>
          <w:color w:val="000000"/>
        </w:rPr>
        <w:t>16.第16行“（五）用于股息分配视同销售成本”：填报发生将货物、财产用于股息分配，会计处理不确认销售收入，税收规定确认为应税收入时，其对应的应予以税前扣除的视同销售成本金额。填列方法同第12行。</w:t>
      </w:r>
    </w:p>
    <w:p>
      <w:pPr>
        <w:pStyle w:val="9"/>
        <w:rPr>
          <w:color w:val="000000"/>
        </w:rPr>
      </w:pPr>
      <w:r>
        <w:rPr>
          <w:rFonts w:hint="eastAsia"/>
          <w:color w:val="000000"/>
        </w:rPr>
        <w:t>17.第17行“（六）用于对外捐赠视同销售成本”：填报发生将货物、财产用于对外捐赠或赞助，会计处理不确认销售收入，税收规定确认为应税收入时，其对应的应予以税前扣除的视同销售成本金额。填列方法同第12行。</w:t>
      </w:r>
    </w:p>
    <w:p>
      <w:pPr>
        <w:pStyle w:val="9"/>
        <w:rPr>
          <w:color w:val="000000"/>
        </w:rPr>
      </w:pPr>
      <w:r>
        <w:rPr>
          <w:rFonts w:hint="eastAsia"/>
          <w:color w:val="000000"/>
        </w:rPr>
        <w:t>18.第18行“（七）用于对外投资项目视同销售成本”：填报会计处理发生将货物、财产用于对外投资，会计处理不确认销售收入，税收规定确认为应税收入时，其对应的应予以税前扣除的视同销售成本金额。填列方法同第12行。</w:t>
      </w:r>
    </w:p>
    <w:p>
      <w:pPr>
        <w:pStyle w:val="9"/>
        <w:rPr>
          <w:color w:val="000000"/>
        </w:rPr>
      </w:pPr>
      <w:r>
        <w:rPr>
          <w:rFonts w:hint="eastAsia"/>
          <w:color w:val="000000"/>
        </w:rPr>
        <w:t>19.第19行“（八）提供劳务视同销售成本”：填报会计处理发生对外提供劳务，会计处理不确认销售收入，税收规定确认为应税收入时，其对应的应予以税前扣除视同销售成本金额。填列方法同第12行。</w:t>
      </w:r>
    </w:p>
    <w:p>
      <w:pPr>
        <w:pStyle w:val="9"/>
        <w:rPr>
          <w:color w:val="000000"/>
        </w:rPr>
      </w:pPr>
      <w:r>
        <w:rPr>
          <w:rFonts w:hint="eastAsia"/>
          <w:color w:val="000000"/>
        </w:rPr>
        <w:t>20.第20行“（九）其他”：填报发生除上述列举情形外，会计处理不确认销售收入，税收规定确认为应税收入的同时，予以税前扣除视同销售成本金额。填列方法同第12行。</w:t>
      </w:r>
    </w:p>
    <w:p>
      <w:pPr>
        <w:pStyle w:val="9"/>
        <w:rPr>
          <w:color w:val="000000"/>
        </w:rPr>
      </w:pPr>
      <w:r>
        <w:rPr>
          <w:rFonts w:hint="eastAsia"/>
          <w:color w:val="000000"/>
        </w:rPr>
        <w:t>21.第21行“三、房地产开发企业特定业务计算的纳税调整额”：填报房地产企业发生销售未完工产品、未完工产品结转完工产品业务，按照税收规定计算的特定业务的纳税调整额。第1列“税收金额”填报第22行第1列减去第26行第1列的余额；第2列“纳税调整金额”等于第1列“税收金额”。</w:t>
      </w:r>
    </w:p>
    <w:p>
      <w:pPr>
        <w:pStyle w:val="9"/>
        <w:rPr>
          <w:color w:val="000000"/>
        </w:rPr>
      </w:pPr>
      <w:r>
        <w:rPr>
          <w:rFonts w:hint="eastAsia"/>
          <w:color w:val="000000"/>
        </w:rPr>
        <w:t>22.第22行“（一）房地产企业销售未完工开发产品特定业务计算的纳税调整额”：填报房地产企业销售未完工开发产品取得销售收入，按税收规定计算的纳税调整额。第1列“税收金额”填报第24行第1列减去第25行第1列的余额；第2列“纳税调整金额”等于第1列“税收金额”。</w:t>
      </w:r>
    </w:p>
    <w:p>
      <w:pPr>
        <w:pStyle w:val="9"/>
        <w:rPr>
          <w:color w:val="000000"/>
        </w:rPr>
      </w:pPr>
      <w:r>
        <w:rPr>
          <w:rFonts w:hint="eastAsia"/>
          <w:color w:val="000000"/>
        </w:rPr>
        <w:t>23.第23行“1.销售未完工产品的收入”：第1列“税收金额”填报房地产企业销售未完工开发产品，会计核算未进行收入确认的销售收入金额。</w:t>
      </w:r>
    </w:p>
    <w:p>
      <w:pPr>
        <w:pStyle w:val="9"/>
        <w:rPr>
          <w:color w:val="000000"/>
        </w:rPr>
      </w:pPr>
      <w:r>
        <w:rPr>
          <w:rFonts w:hint="eastAsia"/>
          <w:color w:val="000000"/>
        </w:rPr>
        <w:t>24.第24行“2.销售未完工产品预计毛利额”：第1列“税收金额”填报房地产企业销售未完工产品取得的销售收入按税收规定预计计税毛利率计算的金额；第2列“纳税调整金额”等于第1列“税收金额”。</w:t>
      </w:r>
    </w:p>
    <w:p>
      <w:pPr>
        <w:pStyle w:val="9"/>
        <w:rPr>
          <w:color w:val="000000"/>
        </w:rPr>
      </w:pPr>
      <w:r>
        <w:rPr>
          <w:rFonts w:hint="eastAsia"/>
          <w:color w:val="000000"/>
        </w:rPr>
        <w:t>25.第25行“3.实际发生的税金及附加、土地增值税”：第1列“税收金额”填报房地产企业销售未完工产品实际发生的税金及附加、土地增值税，且在会计核算中未计入当期损益的金额；第2列“纳税调整金额”等于第1列“税收金额”。</w:t>
      </w:r>
    </w:p>
    <w:p>
      <w:pPr>
        <w:pStyle w:val="9"/>
        <w:rPr>
          <w:color w:val="000000"/>
        </w:rPr>
      </w:pPr>
      <w:r>
        <w:rPr>
          <w:rFonts w:hint="eastAsia"/>
          <w:color w:val="000000"/>
        </w:rPr>
        <w:t>26.第26行“（二）房地产企业销售的未完工产品转完工产品特定业务计算的纳税调整额”：填报房地产企业销售的未完工产品转完工产品，按税收规定计算的纳税调整额。第1列“税收金额”填报第28行第1列减去第29行第1列的余额；第2列“纳税调整金额”等于第1列“税收金额”。</w:t>
      </w:r>
    </w:p>
    <w:p>
      <w:pPr>
        <w:pStyle w:val="9"/>
        <w:rPr>
          <w:color w:val="000000"/>
        </w:rPr>
      </w:pPr>
      <w:r>
        <w:rPr>
          <w:rFonts w:hint="eastAsia"/>
          <w:color w:val="000000"/>
        </w:rPr>
        <w:t>27.第27行“1.销售未完工产品转完工产品确认的销售收入”：第1列“税收金额”填报房地产企业销售的未完工产品，此前年度已按预计毛利额征收所得税，本年度结转为完工产品，会计上符合收入确认条件，当年会计核算确认的销售收入金额。</w:t>
      </w:r>
    </w:p>
    <w:p>
      <w:pPr>
        <w:pStyle w:val="9"/>
        <w:rPr>
          <w:color w:val="000000"/>
        </w:rPr>
      </w:pPr>
      <w:r>
        <w:rPr>
          <w:rFonts w:hint="eastAsia"/>
          <w:color w:val="000000"/>
        </w:rPr>
        <w:t>28.第28行“2.转回的销售未完工产品预计毛利额”：第1列“税收金额”填报房地产企业销售的未完工产品，此前年度已按预计毛利额征收所得税，本年结转完工产品，会计核算确认为销售收入，转回原按税收规定预计计税毛利率计算的金额；第2列“纳税调整金额”等于第1列“税收金额”。</w:t>
      </w:r>
    </w:p>
    <w:p>
      <w:pPr>
        <w:pStyle w:val="9"/>
        <w:rPr>
          <w:color w:val="000000"/>
        </w:rPr>
      </w:pPr>
      <w:r>
        <w:rPr>
          <w:rFonts w:hint="eastAsia"/>
          <w:color w:val="000000"/>
        </w:rPr>
        <w:t>29.第29行“3.转回实际发生的税金及附加、土地增值税”：填报房地产企业销售的未完工产品结转完工产品后，会计核算确认为销售收入，同时将对应实际发生的税金及附加、土地增值税转入当期损益的金额；第2列“纳税调整金额”等于第1列“税收金额”。</w:t>
      </w:r>
    </w:p>
    <w:p>
      <w:pPr>
        <w:pStyle w:val="11"/>
        <w:ind w:firstLine="482"/>
      </w:pPr>
      <w:r>
        <w:rPr>
          <w:rFonts w:hint="eastAsia"/>
        </w:rPr>
        <w:t>二、表内、表间关系</w:t>
      </w:r>
    </w:p>
    <w:p>
      <w:pPr>
        <w:pStyle w:val="12"/>
      </w:pPr>
      <w:r>
        <w:rPr>
          <w:rFonts w:hint="eastAsia"/>
        </w:rPr>
        <w:t>（一）表内关系</w:t>
      </w:r>
    </w:p>
    <w:p>
      <w:pPr>
        <w:pStyle w:val="9"/>
        <w:rPr>
          <w:color w:val="000000"/>
        </w:rPr>
      </w:pPr>
      <w:r>
        <w:rPr>
          <w:rFonts w:hint="eastAsia"/>
          <w:color w:val="000000"/>
        </w:rPr>
        <w:t>1.第1行＝第2+3+</w:t>
      </w:r>
      <w:r>
        <w:rPr>
          <w:color w:val="000000"/>
        </w:rPr>
        <w:t>…</w:t>
      </w:r>
      <w:r>
        <w:rPr>
          <w:rFonts w:hint="eastAsia"/>
          <w:color w:val="000000"/>
        </w:rPr>
        <w:t>+10行。</w:t>
      </w:r>
    </w:p>
    <w:p>
      <w:pPr>
        <w:pStyle w:val="9"/>
        <w:rPr>
          <w:color w:val="000000"/>
        </w:rPr>
      </w:pPr>
      <w:r>
        <w:rPr>
          <w:rFonts w:hint="eastAsia"/>
          <w:color w:val="000000"/>
        </w:rPr>
        <w:t>2.第11行＝第12+13+</w:t>
      </w:r>
      <w:r>
        <w:rPr>
          <w:color w:val="000000"/>
        </w:rPr>
        <w:t>…</w:t>
      </w:r>
      <w:r>
        <w:rPr>
          <w:rFonts w:hint="eastAsia"/>
          <w:color w:val="000000"/>
        </w:rPr>
        <w:t>+20行。</w:t>
      </w:r>
    </w:p>
    <w:p>
      <w:pPr>
        <w:pStyle w:val="9"/>
        <w:rPr>
          <w:color w:val="000000"/>
        </w:rPr>
      </w:pPr>
      <w:r>
        <w:rPr>
          <w:rFonts w:hint="eastAsia"/>
          <w:color w:val="000000"/>
        </w:rPr>
        <w:t>3.第21行＝第22-26行。</w:t>
      </w:r>
    </w:p>
    <w:p>
      <w:pPr>
        <w:pStyle w:val="9"/>
        <w:rPr>
          <w:color w:val="000000"/>
        </w:rPr>
      </w:pPr>
      <w:r>
        <w:rPr>
          <w:rFonts w:hint="eastAsia"/>
          <w:color w:val="000000"/>
        </w:rPr>
        <w:t>4.第22行＝第24-25行。</w:t>
      </w:r>
    </w:p>
    <w:p>
      <w:pPr>
        <w:pStyle w:val="9"/>
        <w:rPr>
          <w:color w:val="000000"/>
        </w:rPr>
      </w:pPr>
      <w:r>
        <w:rPr>
          <w:rFonts w:hint="eastAsia"/>
          <w:color w:val="000000"/>
        </w:rPr>
        <w:t>5.第26行＝第28-29行。</w:t>
      </w:r>
    </w:p>
    <w:p>
      <w:pPr>
        <w:pStyle w:val="12"/>
      </w:pPr>
      <w:r>
        <w:rPr>
          <w:rFonts w:hint="eastAsia"/>
        </w:rPr>
        <w:t>（二）表间关系</w:t>
      </w:r>
    </w:p>
    <w:p>
      <w:pPr>
        <w:pStyle w:val="9"/>
        <w:rPr>
          <w:color w:val="000000"/>
        </w:rPr>
      </w:pPr>
      <w:r>
        <w:rPr>
          <w:rFonts w:hint="eastAsia"/>
          <w:color w:val="000000"/>
        </w:rPr>
        <w:t>1.第1行第1列＝表A105000第2行第2列。</w:t>
      </w:r>
    </w:p>
    <w:p>
      <w:pPr>
        <w:pStyle w:val="9"/>
        <w:rPr>
          <w:color w:val="000000"/>
        </w:rPr>
      </w:pPr>
      <w:r>
        <w:rPr>
          <w:rFonts w:hint="eastAsia"/>
          <w:color w:val="000000"/>
        </w:rPr>
        <w:t>2.第1行第2列＝表A105000第2行第3列。</w:t>
      </w:r>
    </w:p>
    <w:p>
      <w:pPr>
        <w:pStyle w:val="9"/>
        <w:rPr>
          <w:color w:val="000000"/>
        </w:rPr>
      </w:pPr>
      <w:r>
        <w:rPr>
          <w:rFonts w:hint="eastAsia"/>
          <w:color w:val="000000"/>
        </w:rPr>
        <w:t>3.第11行第1列＝表A105000第13行第2列。</w:t>
      </w:r>
    </w:p>
    <w:p>
      <w:pPr>
        <w:pStyle w:val="9"/>
        <w:rPr>
          <w:color w:val="000000"/>
        </w:rPr>
      </w:pPr>
      <w:r>
        <w:rPr>
          <w:rFonts w:hint="eastAsia"/>
          <w:color w:val="000000"/>
        </w:rPr>
        <w:t>4.第11行第2列的绝对值＝表A105000第13行第4列。</w:t>
      </w:r>
    </w:p>
    <w:p>
      <w:pPr>
        <w:pStyle w:val="9"/>
        <w:rPr>
          <w:color w:val="000000"/>
        </w:rPr>
      </w:pPr>
      <w:r>
        <w:rPr>
          <w:rFonts w:hint="eastAsia"/>
          <w:color w:val="000000"/>
        </w:rPr>
        <w:t>5.第21行第1列＝表A105000第</w:t>
      </w:r>
      <w:r>
        <w:rPr>
          <w:color w:val="000000"/>
        </w:rPr>
        <w:t>40</w:t>
      </w:r>
      <w:r>
        <w:rPr>
          <w:rFonts w:hint="eastAsia"/>
          <w:color w:val="000000"/>
        </w:rPr>
        <w:t>行第2列。</w:t>
      </w:r>
    </w:p>
    <w:p>
      <w:pPr>
        <w:pStyle w:val="9"/>
        <w:rPr>
          <w:color w:val="000000"/>
        </w:rPr>
        <w:sectPr>
          <w:footerReference r:id="rId9" w:type="first"/>
          <w:pgSz w:w="11906" w:h="16838"/>
          <w:pgMar w:top="1985" w:right="1418" w:bottom="1928" w:left="1418" w:header="851" w:footer="992" w:gutter="113"/>
          <w:cols w:space="425" w:num="1"/>
          <w:titlePg/>
          <w:docGrid w:linePitch="312" w:charSpace="0"/>
        </w:sectPr>
      </w:pPr>
      <w:r>
        <w:rPr>
          <w:rFonts w:hint="eastAsia"/>
          <w:color w:val="000000"/>
        </w:rPr>
        <w:t>6.若第21行第2列≥0，第21行第2列=表A105000第</w:t>
      </w:r>
      <w:r>
        <w:rPr>
          <w:color w:val="000000"/>
        </w:rPr>
        <w:t>40</w:t>
      </w:r>
      <w:r>
        <w:rPr>
          <w:rFonts w:hint="eastAsia"/>
          <w:color w:val="000000"/>
        </w:rPr>
        <w:t>行第3列；若第21行第2列＜0，第21行第2列的绝对值＝表A105000第</w:t>
      </w:r>
      <w:r>
        <w:rPr>
          <w:color w:val="000000"/>
        </w:rPr>
        <w:t>40</w:t>
      </w:r>
      <w:r>
        <w:rPr>
          <w:rFonts w:hint="eastAsia"/>
          <w:color w:val="000000"/>
        </w:rPr>
        <w:t>行第4列。</w:t>
      </w:r>
    </w:p>
    <w:p>
      <w:pPr>
        <w:pStyle w:val="13"/>
      </w:pPr>
      <w:bookmarkStart w:id="46" w:name="_Toc499456573"/>
      <w:r>
        <w:rPr>
          <w:rFonts w:hint="eastAsia"/>
        </w:rPr>
        <w:t>A105020</w:t>
      </w:r>
      <w:r>
        <w:tab/>
      </w:r>
      <w:r>
        <w:rPr>
          <w:rFonts w:hint="eastAsia"/>
        </w:rPr>
        <w:t>未按权责发生制确认收入纳税调整明细表</w:t>
      </w:r>
      <w:bookmarkEnd w:id="46"/>
    </w:p>
    <w:tbl>
      <w:tblPr>
        <w:tblStyle w:val="7"/>
        <w:tblW w:w="1297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0"/>
        <w:gridCol w:w="5359"/>
        <w:gridCol w:w="1417"/>
        <w:gridCol w:w="1085"/>
        <w:gridCol w:w="1134"/>
        <w:gridCol w:w="1134"/>
        <w:gridCol w:w="1049"/>
        <w:gridCol w:w="12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58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5359"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        目</w:t>
            </w:r>
          </w:p>
        </w:tc>
        <w:tc>
          <w:tcPr>
            <w:tcW w:w="1417"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合同金额（交易金额）</w:t>
            </w:r>
          </w:p>
        </w:tc>
        <w:tc>
          <w:tcPr>
            <w:tcW w:w="2219"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账载金额</w:t>
            </w:r>
          </w:p>
        </w:tc>
        <w:tc>
          <w:tcPr>
            <w:tcW w:w="2183"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税收金额</w:t>
            </w:r>
          </w:p>
        </w:tc>
        <w:tc>
          <w:tcPr>
            <w:tcW w:w="1219"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纳税调整金额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580" w:type="dxa"/>
            <w:vMerge w:val="continue"/>
            <w:shd w:val="clear" w:color="auto" w:fill="auto"/>
            <w:vAlign w:val="center"/>
          </w:tcPr>
          <w:p>
            <w:pPr>
              <w:widowControl/>
              <w:jc w:val="left"/>
              <w:rPr>
                <w:rFonts w:ascii="宋体" w:hAnsi="宋体" w:cs="宋体"/>
                <w:kern w:val="0"/>
                <w:sz w:val="20"/>
                <w:szCs w:val="20"/>
              </w:rPr>
            </w:pPr>
          </w:p>
        </w:tc>
        <w:tc>
          <w:tcPr>
            <w:tcW w:w="5359" w:type="dxa"/>
            <w:vMerge w:val="continue"/>
            <w:shd w:val="clear" w:color="auto" w:fill="auto"/>
            <w:vAlign w:val="center"/>
          </w:tcPr>
          <w:p>
            <w:pPr>
              <w:widowControl/>
              <w:jc w:val="left"/>
              <w:rPr>
                <w:rFonts w:ascii="宋体" w:hAnsi="宋体" w:cs="宋体"/>
                <w:kern w:val="0"/>
                <w:sz w:val="20"/>
                <w:szCs w:val="20"/>
              </w:rPr>
            </w:pPr>
          </w:p>
        </w:tc>
        <w:tc>
          <w:tcPr>
            <w:tcW w:w="1417" w:type="dxa"/>
            <w:vMerge w:val="continue"/>
            <w:shd w:val="clear" w:color="auto" w:fill="auto"/>
            <w:vAlign w:val="center"/>
          </w:tcPr>
          <w:p>
            <w:pPr>
              <w:widowControl/>
              <w:jc w:val="left"/>
              <w:rPr>
                <w:rFonts w:ascii="宋体" w:hAnsi="宋体" w:cs="宋体"/>
                <w:kern w:val="0"/>
                <w:sz w:val="20"/>
                <w:szCs w:val="20"/>
              </w:rPr>
            </w:pPr>
          </w:p>
        </w:tc>
        <w:tc>
          <w:tcPr>
            <w:tcW w:w="108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本年</w:t>
            </w:r>
          </w:p>
        </w:tc>
        <w:tc>
          <w:tcPr>
            <w:tcW w:w="1134"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累计</w:t>
            </w:r>
          </w:p>
        </w:tc>
        <w:tc>
          <w:tcPr>
            <w:tcW w:w="1134"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本年</w:t>
            </w:r>
          </w:p>
        </w:tc>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累计</w:t>
            </w:r>
          </w:p>
        </w:tc>
        <w:tc>
          <w:tcPr>
            <w:tcW w:w="1219" w:type="dxa"/>
            <w:vMerge w:val="continue"/>
            <w:vAlign w:val="center"/>
          </w:tcPr>
          <w:p>
            <w:pPr>
              <w:widowControl/>
              <w:jc w:val="lef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580" w:type="dxa"/>
            <w:vMerge w:val="continue"/>
            <w:shd w:val="clear" w:color="auto" w:fill="auto"/>
            <w:vAlign w:val="center"/>
          </w:tcPr>
          <w:p>
            <w:pPr>
              <w:widowControl/>
              <w:jc w:val="left"/>
              <w:rPr>
                <w:rFonts w:ascii="宋体" w:hAnsi="宋体" w:cs="宋体"/>
                <w:kern w:val="0"/>
                <w:sz w:val="20"/>
                <w:szCs w:val="20"/>
              </w:rPr>
            </w:pPr>
          </w:p>
        </w:tc>
        <w:tc>
          <w:tcPr>
            <w:tcW w:w="5359" w:type="dxa"/>
            <w:vMerge w:val="continue"/>
            <w:shd w:val="clear" w:color="auto" w:fill="auto"/>
            <w:vAlign w:val="center"/>
          </w:tcPr>
          <w:p>
            <w:pPr>
              <w:widowControl/>
              <w:jc w:val="left"/>
              <w:rPr>
                <w:rFonts w:ascii="宋体" w:hAnsi="宋体" w:cs="宋体"/>
                <w:kern w:val="0"/>
                <w:sz w:val="20"/>
                <w:szCs w:val="20"/>
              </w:rPr>
            </w:pPr>
          </w:p>
        </w:tc>
        <w:tc>
          <w:tcPr>
            <w:tcW w:w="14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8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34"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34"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4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21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58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35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一、跨期收取的租金、利息、特许权使用费收入（2+3+4）</w:t>
            </w:r>
          </w:p>
        </w:tc>
        <w:tc>
          <w:tcPr>
            <w:tcW w:w="141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5"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4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1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58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359" w:type="dxa"/>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（一）租金</w:t>
            </w:r>
          </w:p>
        </w:tc>
        <w:tc>
          <w:tcPr>
            <w:tcW w:w="141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5"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4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1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58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359" w:type="dxa"/>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（二）利息</w:t>
            </w:r>
          </w:p>
        </w:tc>
        <w:tc>
          <w:tcPr>
            <w:tcW w:w="141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5"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4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1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58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359" w:type="dxa"/>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（三）特许权使用费</w:t>
            </w:r>
          </w:p>
        </w:tc>
        <w:tc>
          <w:tcPr>
            <w:tcW w:w="141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5"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4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1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58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535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二、分期确认收入（6+7+8）</w:t>
            </w:r>
          </w:p>
        </w:tc>
        <w:tc>
          <w:tcPr>
            <w:tcW w:w="141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5"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4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1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58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5359" w:type="dxa"/>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（一）分期收款方式销售货物收入</w:t>
            </w:r>
          </w:p>
        </w:tc>
        <w:tc>
          <w:tcPr>
            <w:tcW w:w="141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5"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4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1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58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5359" w:type="dxa"/>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（二）持续时间超过12个月的建造合同收入</w:t>
            </w:r>
          </w:p>
        </w:tc>
        <w:tc>
          <w:tcPr>
            <w:tcW w:w="141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5"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4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1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58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5359" w:type="dxa"/>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（三）其他分期确认收入</w:t>
            </w:r>
          </w:p>
        </w:tc>
        <w:tc>
          <w:tcPr>
            <w:tcW w:w="141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5"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4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1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58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535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三、政府补助递延收入（10+11+12）</w:t>
            </w:r>
          </w:p>
        </w:tc>
        <w:tc>
          <w:tcPr>
            <w:tcW w:w="141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5"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4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1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58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5359" w:type="dxa"/>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（一）与收益相关的政府补助</w:t>
            </w:r>
          </w:p>
        </w:tc>
        <w:tc>
          <w:tcPr>
            <w:tcW w:w="141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5"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4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1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58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5359" w:type="dxa"/>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（二）与资产相关的政府补助</w:t>
            </w:r>
          </w:p>
        </w:tc>
        <w:tc>
          <w:tcPr>
            <w:tcW w:w="141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5"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4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1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58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5359" w:type="dxa"/>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（三）其他</w:t>
            </w:r>
          </w:p>
        </w:tc>
        <w:tc>
          <w:tcPr>
            <w:tcW w:w="141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5"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4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1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58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535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四、其他未按权责发生制确认收入</w:t>
            </w:r>
          </w:p>
        </w:tc>
        <w:tc>
          <w:tcPr>
            <w:tcW w:w="141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5"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4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1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58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535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合计（1+5+9+13）</w:t>
            </w:r>
          </w:p>
        </w:tc>
        <w:tc>
          <w:tcPr>
            <w:tcW w:w="141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5"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4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1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bl>
    <w:p>
      <w:pPr>
        <w:pStyle w:val="9"/>
        <w:sectPr>
          <w:pgSz w:w="16838" w:h="11906" w:orient="landscape"/>
          <w:pgMar w:top="1418" w:right="1985" w:bottom="1418" w:left="1928" w:header="851" w:footer="992" w:gutter="113"/>
          <w:cols w:space="425" w:num="1"/>
          <w:docGrid w:linePitch="312" w:charSpace="0"/>
        </w:sectPr>
      </w:pPr>
    </w:p>
    <w:p>
      <w:pPr>
        <w:pStyle w:val="8"/>
        <w:spacing w:before="240" w:after="360"/>
      </w:pPr>
      <w:bookmarkStart w:id="47" w:name="_Toc499456574"/>
      <w:r>
        <w:rPr>
          <w:rFonts w:hint="eastAsia"/>
        </w:rPr>
        <w:t>A105020</w:t>
      </w:r>
      <w:r>
        <w:tab/>
      </w:r>
      <w:r>
        <w:tab/>
      </w:r>
      <w:r>
        <w:rPr>
          <w:rFonts w:hint="eastAsia"/>
        </w:rPr>
        <w:t>《未按权责发生制确认收入纳税调整明细表》填报说明</w:t>
      </w:r>
      <w:bookmarkEnd w:id="47"/>
    </w:p>
    <w:p>
      <w:pPr>
        <w:spacing w:line="360" w:lineRule="auto"/>
        <w:ind w:firstLine="480" w:firstLineChars="200"/>
        <w:rPr>
          <w:rFonts w:ascii="宋体" w:hAnsi="宋体"/>
          <w:color w:val="000000"/>
          <w:sz w:val="24"/>
        </w:rPr>
      </w:pPr>
      <w:r>
        <w:rPr>
          <w:rFonts w:hint="eastAsia" w:ascii="宋体" w:hAnsi="宋体"/>
          <w:color w:val="000000"/>
          <w:sz w:val="24"/>
        </w:rPr>
        <w:t>本表适用于会计处理按权责发生制确认收入、税收规定未按权责发生制确认收入需纳税调整的纳税人填报。纳税人根据税法、《</w:t>
      </w:r>
      <w:r>
        <w:rPr>
          <w:rFonts w:ascii="宋体" w:hAnsi="宋体"/>
          <w:color w:val="000000"/>
          <w:sz w:val="24"/>
        </w:rPr>
        <w:t>国家税务总局关于贯彻落实企业所得税法若干税收问题的通知</w:t>
      </w:r>
      <w:r>
        <w:rPr>
          <w:rFonts w:hint="eastAsia" w:ascii="宋体" w:hAnsi="宋体"/>
          <w:color w:val="000000"/>
          <w:sz w:val="24"/>
        </w:rPr>
        <w:t>》（国税函〔2010〕79号）、《</w:t>
      </w:r>
      <w:r>
        <w:rPr>
          <w:rFonts w:ascii="宋体" w:hAnsi="宋体"/>
          <w:color w:val="000000"/>
          <w:sz w:val="24"/>
        </w:rPr>
        <w:t>国家税务总局关于确认企业所得税收入若干问题的通知</w:t>
      </w:r>
      <w:r>
        <w:rPr>
          <w:rFonts w:hint="eastAsia" w:ascii="宋体" w:hAnsi="宋体"/>
          <w:color w:val="000000"/>
          <w:sz w:val="24"/>
        </w:rPr>
        <w:t>》（</w:t>
      </w:r>
      <w:r>
        <w:rPr>
          <w:rFonts w:ascii="宋体" w:hAnsi="宋体"/>
          <w:color w:val="000000"/>
          <w:sz w:val="24"/>
        </w:rPr>
        <w:t>国税函〔2008〕875号</w:t>
      </w:r>
      <w:r>
        <w:rPr>
          <w:rFonts w:hint="eastAsia" w:ascii="宋体" w:hAnsi="宋体"/>
          <w:color w:val="000000"/>
          <w:sz w:val="24"/>
        </w:rPr>
        <w:t>）等相关规定，以及国家统一企业会计制度，填报会计处理按照权责发生制确认收入、税收规定未按权责发生制确认收入的会计处理、税收规定，以及纳税调整情况。符合税收规定不征税收入条件的政府补助收入，本表不作调整，在《专项用途财政性资金纳税调整明细表》（A105040）中纳税调整。</w:t>
      </w:r>
    </w:p>
    <w:p>
      <w:pPr>
        <w:pStyle w:val="11"/>
        <w:ind w:firstLine="482"/>
      </w:pPr>
      <w:r>
        <w:rPr>
          <w:rFonts w:hint="eastAsia"/>
        </w:rPr>
        <w:t>一、有关项目填报说明</w:t>
      </w:r>
    </w:p>
    <w:p>
      <w:pPr>
        <w:pStyle w:val="9"/>
        <w:rPr>
          <w:color w:val="000000"/>
        </w:rPr>
      </w:pPr>
      <w:r>
        <w:rPr>
          <w:rFonts w:hint="eastAsia"/>
          <w:color w:val="000000"/>
        </w:rPr>
        <w:t>1.第1列“合同金额或交易金额”：填报会计处理按照权责发生制确认收入、税收规定未按权责发生制确认收入的项目的合同总额或交易总额。</w:t>
      </w:r>
    </w:p>
    <w:p>
      <w:pPr>
        <w:pStyle w:val="9"/>
        <w:rPr>
          <w:color w:val="000000"/>
        </w:rPr>
      </w:pPr>
      <w:r>
        <w:rPr>
          <w:rFonts w:hint="eastAsia"/>
          <w:color w:val="000000"/>
        </w:rPr>
        <w:t>2.第2列“账载金额-本年”：填报纳税人会计处理按权责发生制在本期确认金额。</w:t>
      </w:r>
    </w:p>
    <w:p>
      <w:pPr>
        <w:pStyle w:val="9"/>
        <w:rPr>
          <w:color w:val="000000"/>
        </w:rPr>
      </w:pPr>
      <w:r>
        <w:rPr>
          <w:rFonts w:hint="eastAsia"/>
          <w:color w:val="000000"/>
        </w:rPr>
        <w:t>3.第3列“账载金额-累计”：填报纳税人会计处理按权责发生制累计确认金额（含本年）。</w:t>
      </w:r>
    </w:p>
    <w:p>
      <w:pPr>
        <w:pStyle w:val="9"/>
        <w:rPr>
          <w:color w:val="000000"/>
        </w:rPr>
      </w:pPr>
      <w:r>
        <w:rPr>
          <w:rFonts w:hint="eastAsia"/>
          <w:color w:val="000000"/>
        </w:rPr>
        <w:t>4.第4列“税收金额-本年”：填报纳税人按税收规定未按权责发生制在本期确认金额。</w:t>
      </w:r>
    </w:p>
    <w:p>
      <w:pPr>
        <w:pStyle w:val="9"/>
        <w:rPr>
          <w:color w:val="000000"/>
        </w:rPr>
      </w:pPr>
      <w:r>
        <w:rPr>
          <w:rFonts w:hint="eastAsia"/>
          <w:color w:val="000000"/>
        </w:rPr>
        <w:t>5.第5列“税收金额-累计”：填报纳税人按税收规定未按权责发生制累计确认金额（含本年）。</w:t>
      </w:r>
    </w:p>
    <w:p>
      <w:pPr>
        <w:pStyle w:val="9"/>
        <w:rPr>
          <w:color w:val="000000"/>
        </w:rPr>
      </w:pPr>
      <w:r>
        <w:rPr>
          <w:rFonts w:hint="eastAsia"/>
          <w:color w:val="000000"/>
        </w:rPr>
        <w:t>6.第6列“纳税调整金额”：填报纳税人会计处理按权责发生制确认收入、税收规定未按权责发生制确认收入的差异需纳税调整金额，为第4-2列的余额。</w:t>
      </w:r>
    </w:p>
    <w:p>
      <w:pPr>
        <w:pStyle w:val="11"/>
        <w:ind w:firstLine="482"/>
      </w:pPr>
      <w:r>
        <w:rPr>
          <w:rFonts w:hint="eastAsia"/>
        </w:rPr>
        <w:t>二、表内、表间关系</w:t>
      </w:r>
    </w:p>
    <w:p>
      <w:pPr>
        <w:pStyle w:val="12"/>
      </w:pPr>
      <w:r>
        <w:rPr>
          <w:rFonts w:hint="eastAsia"/>
        </w:rPr>
        <w:t>（一）表内关系</w:t>
      </w:r>
    </w:p>
    <w:p>
      <w:pPr>
        <w:pStyle w:val="9"/>
        <w:rPr>
          <w:color w:val="000000"/>
        </w:rPr>
      </w:pPr>
      <w:r>
        <w:rPr>
          <w:rFonts w:hint="eastAsia"/>
          <w:color w:val="000000"/>
        </w:rPr>
        <w:t>1.第1行＝第2+3+4行。</w:t>
      </w:r>
    </w:p>
    <w:p>
      <w:pPr>
        <w:pStyle w:val="9"/>
        <w:rPr>
          <w:color w:val="000000"/>
        </w:rPr>
      </w:pPr>
      <w:r>
        <w:rPr>
          <w:rFonts w:hint="eastAsia"/>
          <w:color w:val="000000"/>
        </w:rPr>
        <w:t>2.第5行＝第6+7+8行。</w:t>
      </w:r>
    </w:p>
    <w:p>
      <w:pPr>
        <w:pStyle w:val="9"/>
        <w:rPr>
          <w:color w:val="000000"/>
        </w:rPr>
      </w:pPr>
      <w:r>
        <w:rPr>
          <w:rFonts w:hint="eastAsia"/>
          <w:color w:val="000000"/>
        </w:rPr>
        <w:t>3.第9行＝第10+11+12行。</w:t>
      </w:r>
    </w:p>
    <w:p>
      <w:pPr>
        <w:pStyle w:val="9"/>
        <w:rPr>
          <w:color w:val="000000"/>
        </w:rPr>
      </w:pPr>
      <w:r>
        <w:rPr>
          <w:rFonts w:hint="eastAsia"/>
          <w:color w:val="000000"/>
        </w:rPr>
        <w:t>4.第14行＝第1+5+9+13行。</w:t>
      </w:r>
    </w:p>
    <w:p>
      <w:pPr>
        <w:pStyle w:val="9"/>
        <w:rPr>
          <w:color w:val="000000"/>
        </w:rPr>
      </w:pPr>
      <w:r>
        <w:rPr>
          <w:rFonts w:hint="eastAsia"/>
          <w:color w:val="000000"/>
        </w:rPr>
        <w:t>5.第6列＝第4-2列。</w:t>
      </w:r>
    </w:p>
    <w:p>
      <w:pPr>
        <w:pStyle w:val="12"/>
      </w:pPr>
      <w:r>
        <w:rPr>
          <w:rFonts w:hint="eastAsia"/>
        </w:rPr>
        <w:t>（二）表间关系</w:t>
      </w:r>
    </w:p>
    <w:p>
      <w:pPr>
        <w:pStyle w:val="9"/>
        <w:rPr>
          <w:color w:val="000000"/>
        </w:rPr>
      </w:pPr>
      <w:r>
        <w:rPr>
          <w:rFonts w:hint="eastAsia"/>
          <w:color w:val="000000"/>
        </w:rPr>
        <w:t>1.第14行第2列＝表A105000第3行第1列。</w:t>
      </w:r>
    </w:p>
    <w:p>
      <w:pPr>
        <w:pStyle w:val="9"/>
        <w:rPr>
          <w:color w:val="000000"/>
        </w:rPr>
      </w:pPr>
      <w:r>
        <w:rPr>
          <w:rFonts w:hint="eastAsia"/>
          <w:color w:val="000000"/>
        </w:rPr>
        <w:t>2.第14行第4列＝表A105000第3行第2列。</w:t>
      </w:r>
    </w:p>
    <w:p>
      <w:pPr>
        <w:pStyle w:val="9"/>
        <w:rPr>
          <w:color w:val="000000"/>
        </w:rPr>
        <w:sectPr>
          <w:pgSz w:w="11906" w:h="16838"/>
          <w:pgMar w:top="1985" w:right="1418" w:bottom="1928" w:left="1418" w:header="851" w:footer="992" w:gutter="113"/>
          <w:cols w:space="425" w:num="1"/>
          <w:docGrid w:linePitch="312" w:charSpace="0"/>
        </w:sectPr>
      </w:pPr>
      <w:r>
        <w:rPr>
          <w:rFonts w:hint="eastAsia"/>
          <w:color w:val="000000"/>
        </w:rPr>
        <w:t>3.若第14行第6列≥0，第14行第6列＝表A105000第3行第3列；若第14行第6列＜0，第14行第6列绝对值＝表A105000第3行第4列。</w:t>
      </w:r>
    </w:p>
    <w:p>
      <w:pPr>
        <w:pStyle w:val="13"/>
      </w:pPr>
      <w:bookmarkStart w:id="48" w:name="_Toc499456575"/>
      <w:r>
        <w:rPr>
          <w:rFonts w:hint="eastAsia"/>
        </w:rPr>
        <w:t>A105030</w:t>
      </w:r>
      <w:r>
        <w:tab/>
      </w:r>
      <w:r>
        <w:rPr>
          <w:rFonts w:hint="eastAsia"/>
        </w:rPr>
        <w:t>投资收益纳税调整明细表</w:t>
      </w:r>
      <w:bookmarkEnd w:id="48"/>
    </w:p>
    <w:tbl>
      <w:tblPr>
        <w:tblStyle w:val="7"/>
        <w:tblW w:w="1409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2720"/>
        <w:gridCol w:w="940"/>
        <w:gridCol w:w="940"/>
        <w:gridCol w:w="940"/>
        <w:gridCol w:w="940"/>
        <w:gridCol w:w="940"/>
        <w:gridCol w:w="940"/>
        <w:gridCol w:w="940"/>
        <w:gridCol w:w="1068"/>
        <w:gridCol w:w="940"/>
        <w:gridCol w:w="1045"/>
        <w:gridCol w:w="11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272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        目</w:t>
            </w:r>
          </w:p>
        </w:tc>
        <w:tc>
          <w:tcPr>
            <w:tcW w:w="2820"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持有收益</w:t>
            </w:r>
          </w:p>
        </w:tc>
        <w:tc>
          <w:tcPr>
            <w:tcW w:w="6813" w:type="dxa"/>
            <w:gridSpan w:val="7"/>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处置收益</w:t>
            </w:r>
          </w:p>
        </w:tc>
        <w:tc>
          <w:tcPr>
            <w:tcW w:w="110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纳税调整金额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0" w:hRule="atLeast"/>
          <w:jc w:val="center"/>
        </w:trPr>
        <w:tc>
          <w:tcPr>
            <w:tcW w:w="640" w:type="dxa"/>
            <w:vMerge w:val="continue"/>
            <w:shd w:val="clear" w:color="auto" w:fill="auto"/>
            <w:vAlign w:val="center"/>
          </w:tcPr>
          <w:p>
            <w:pPr>
              <w:widowControl/>
              <w:jc w:val="left"/>
              <w:rPr>
                <w:rFonts w:ascii="宋体" w:hAnsi="宋体" w:cs="宋体"/>
                <w:kern w:val="0"/>
                <w:sz w:val="20"/>
                <w:szCs w:val="20"/>
              </w:rPr>
            </w:pPr>
          </w:p>
        </w:tc>
        <w:tc>
          <w:tcPr>
            <w:tcW w:w="2720" w:type="dxa"/>
            <w:vMerge w:val="continue"/>
            <w:shd w:val="clear" w:color="auto" w:fill="auto"/>
            <w:vAlign w:val="center"/>
          </w:tcPr>
          <w:p>
            <w:pPr>
              <w:widowControl/>
              <w:jc w:val="left"/>
              <w:rPr>
                <w:rFonts w:ascii="宋体" w:hAnsi="宋体" w:cs="宋体"/>
                <w:kern w:val="0"/>
                <w:sz w:val="20"/>
                <w:szCs w:val="20"/>
              </w:rPr>
            </w:pP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账载金额</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税收金额</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纳税调整金额</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会计确认的处置收入</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税收计算的处置收入</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处置投资的账面价值</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处置投资的计税基础</w:t>
            </w:r>
          </w:p>
        </w:tc>
        <w:tc>
          <w:tcPr>
            <w:tcW w:w="106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会计确认的处置所得或损失</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税收计算的处置所得</w:t>
            </w:r>
          </w:p>
        </w:tc>
        <w:tc>
          <w:tcPr>
            <w:tcW w:w="104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纳税调整金额</w:t>
            </w:r>
          </w:p>
        </w:tc>
        <w:tc>
          <w:tcPr>
            <w:tcW w:w="1100" w:type="dxa"/>
            <w:vMerge w:val="continue"/>
            <w:vAlign w:val="center"/>
          </w:tcPr>
          <w:p>
            <w:pPr>
              <w:widowControl/>
              <w:jc w:val="lef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vMerge w:val="continue"/>
            <w:shd w:val="clear" w:color="auto" w:fill="auto"/>
            <w:vAlign w:val="center"/>
          </w:tcPr>
          <w:p>
            <w:pPr>
              <w:widowControl/>
              <w:jc w:val="left"/>
              <w:rPr>
                <w:rFonts w:ascii="宋体" w:hAnsi="宋体" w:cs="宋体"/>
                <w:kern w:val="0"/>
                <w:sz w:val="20"/>
                <w:szCs w:val="20"/>
              </w:rPr>
            </w:pPr>
          </w:p>
        </w:tc>
        <w:tc>
          <w:tcPr>
            <w:tcW w:w="2720" w:type="dxa"/>
            <w:vMerge w:val="continue"/>
            <w:shd w:val="clear" w:color="auto" w:fill="auto"/>
            <w:vAlign w:val="center"/>
          </w:tcPr>
          <w:p>
            <w:pPr>
              <w:widowControl/>
              <w:jc w:val="left"/>
              <w:rPr>
                <w:rFonts w:ascii="宋体" w:hAnsi="宋体" w:cs="宋体"/>
                <w:kern w:val="0"/>
                <w:sz w:val="20"/>
                <w:szCs w:val="20"/>
              </w:rPr>
            </w:pP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3（2-1）</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06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8（4-6）</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9（5-7）</w:t>
            </w:r>
          </w:p>
        </w:tc>
        <w:tc>
          <w:tcPr>
            <w:tcW w:w="104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10（9-8）</w:t>
            </w:r>
          </w:p>
        </w:tc>
        <w:tc>
          <w:tcPr>
            <w:tcW w:w="11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11（3+10）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7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一、交易性金融资产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6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7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二、可供出售金融资产    </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6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7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三、持有至到期投资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6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7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四、衍生工具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6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7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五、交易性金融负债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6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7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六、长期股权投资</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6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7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七、短期投资</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6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7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八、长期债券投资</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6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7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九、其他</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6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7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合计(1+2+3+4+5+6+7+8+9)</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6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pStyle w:val="9"/>
      </w:pPr>
    </w:p>
    <w:p>
      <w:pPr>
        <w:pStyle w:val="8"/>
        <w:spacing w:before="240" w:after="360"/>
        <w:jc w:val="both"/>
        <w:rPr>
          <w:color w:val="000000"/>
        </w:rPr>
        <w:sectPr>
          <w:pgSz w:w="16838" w:h="11906" w:orient="landscape"/>
          <w:pgMar w:top="1418" w:right="1985" w:bottom="1418" w:left="1928" w:header="851" w:footer="992" w:gutter="113"/>
          <w:cols w:space="425" w:num="1"/>
          <w:titlePg/>
          <w:docGrid w:linePitch="312" w:charSpace="0"/>
        </w:sectPr>
      </w:pPr>
    </w:p>
    <w:p>
      <w:pPr>
        <w:pStyle w:val="8"/>
        <w:spacing w:before="240" w:after="360"/>
      </w:pPr>
      <w:bookmarkStart w:id="49" w:name="_Toc499456576"/>
      <w:r>
        <w:rPr>
          <w:rFonts w:hint="eastAsia"/>
        </w:rPr>
        <w:t>A105030</w:t>
      </w:r>
      <w:r>
        <w:tab/>
      </w:r>
      <w:r>
        <w:rPr>
          <w:rFonts w:hint="eastAsia"/>
        </w:rPr>
        <w:t>《投资收益纳税调整明细表》填报说明</w:t>
      </w:r>
      <w:bookmarkEnd w:id="49"/>
    </w:p>
    <w:p>
      <w:pPr>
        <w:pStyle w:val="9"/>
      </w:pPr>
      <w:r>
        <w:rPr>
          <w:rFonts w:hint="eastAsia"/>
        </w:rPr>
        <w:t>本表适用于发生投资收益纳税调整项目的纳税人及从事股权投资业务的纳税人填报。纳税人根据税法、《国家税务总局关于贯彻落实企业所得税法若干税收问题的通知》（国税函〔2010〕79号）等相关规定，以及国家统一企业会计制度，填报投资收益的会计处理、税收规定，以及纳税调整情况。发生持有期间投资收益，并按税收规定为减免税收入的(如国债利息收入等)，本表不作调整。处置投资项目按税收规定确认为损失的，本表不作调整，在《资产损失税前扣除及纳税调整明细表》(A105090)进行纳税调整。处置投资项目符合企业重组且适用特殊性税务处理规定的，本表不作调整，在《企业重组及递延纳税事项纳税调整明细表》（A105100）进行纳税调整。</w:t>
      </w:r>
    </w:p>
    <w:p>
      <w:pPr>
        <w:pStyle w:val="11"/>
        <w:ind w:firstLine="482"/>
      </w:pPr>
      <w:r>
        <w:rPr>
          <w:rFonts w:hint="eastAsia"/>
        </w:rPr>
        <w:t>一、有关项目填报说明</w:t>
      </w:r>
    </w:p>
    <w:p>
      <w:pPr>
        <w:spacing w:line="360" w:lineRule="auto"/>
        <w:ind w:firstLine="480" w:firstLineChars="200"/>
        <w:rPr>
          <w:rFonts w:ascii="宋体" w:hAnsi="宋体"/>
          <w:color w:val="000000"/>
          <w:sz w:val="24"/>
        </w:rPr>
      </w:pPr>
      <w:r>
        <w:rPr>
          <w:rFonts w:hint="eastAsia" w:ascii="宋体" w:hAnsi="宋体"/>
          <w:color w:val="000000"/>
          <w:sz w:val="24"/>
        </w:rPr>
        <w:t>1.第1列“账载金额”：填报纳税人持有投资项目，会计核算确认的投资收益。</w:t>
      </w:r>
    </w:p>
    <w:p>
      <w:pPr>
        <w:spacing w:line="360" w:lineRule="auto"/>
        <w:ind w:firstLine="480" w:firstLineChars="200"/>
        <w:rPr>
          <w:rFonts w:ascii="宋体" w:hAnsi="宋体"/>
          <w:color w:val="000000"/>
          <w:sz w:val="24"/>
        </w:rPr>
      </w:pPr>
      <w:r>
        <w:rPr>
          <w:rFonts w:hint="eastAsia" w:ascii="宋体" w:hAnsi="宋体"/>
          <w:color w:val="000000"/>
          <w:sz w:val="24"/>
        </w:rPr>
        <w:t>2.第2列“税收金额”：填报纳税人持有投资项目，按照税收规定确认的投资收益。</w:t>
      </w:r>
    </w:p>
    <w:p>
      <w:pPr>
        <w:spacing w:line="360" w:lineRule="auto"/>
        <w:ind w:firstLine="480" w:firstLineChars="200"/>
        <w:rPr>
          <w:rFonts w:ascii="宋体" w:hAnsi="宋体"/>
          <w:color w:val="000000"/>
          <w:sz w:val="24"/>
        </w:rPr>
      </w:pPr>
      <w:r>
        <w:rPr>
          <w:rFonts w:hint="eastAsia" w:ascii="宋体" w:hAnsi="宋体"/>
          <w:color w:val="000000"/>
          <w:sz w:val="24"/>
        </w:rPr>
        <w:t>3.第3列“纳税调整金额”：填报纳税人持有投资项目，会计核算确认投资收益与税收规定投资收益的差异需纳税调整金额，为第2-1列的余额。</w:t>
      </w:r>
    </w:p>
    <w:p>
      <w:pPr>
        <w:spacing w:line="360" w:lineRule="auto"/>
        <w:ind w:firstLine="480" w:firstLineChars="200"/>
        <w:rPr>
          <w:rFonts w:ascii="宋体" w:hAnsi="宋体"/>
          <w:color w:val="000000"/>
          <w:sz w:val="24"/>
        </w:rPr>
      </w:pPr>
      <w:r>
        <w:rPr>
          <w:rFonts w:hint="eastAsia" w:ascii="宋体" w:hAnsi="宋体"/>
          <w:color w:val="000000"/>
          <w:sz w:val="24"/>
        </w:rPr>
        <w:t>4.第4列“会计确认的处置收入”：填报纳税人收回、转让或清算处置投资项目，会计核算确认的扣除相关税费后的处置收入金额。</w:t>
      </w:r>
    </w:p>
    <w:p>
      <w:pPr>
        <w:spacing w:line="360" w:lineRule="auto"/>
        <w:ind w:firstLine="480" w:firstLineChars="200"/>
        <w:rPr>
          <w:rFonts w:ascii="宋体" w:hAnsi="宋体"/>
          <w:color w:val="000000"/>
          <w:sz w:val="24"/>
        </w:rPr>
      </w:pPr>
      <w:r>
        <w:rPr>
          <w:rFonts w:hint="eastAsia" w:ascii="宋体" w:hAnsi="宋体"/>
          <w:color w:val="000000"/>
          <w:sz w:val="24"/>
        </w:rPr>
        <w:t>5.第5列“税收计算的处置收入”：填报纳税人收回、转让或清算处置投资项目，按照税收规定计算的扣除相关税费后的处置收入金额。</w:t>
      </w:r>
    </w:p>
    <w:p>
      <w:pPr>
        <w:spacing w:line="360" w:lineRule="auto"/>
        <w:ind w:firstLine="480" w:firstLineChars="200"/>
        <w:rPr>
          <w:rFonts w:ascii="宋体" w:hAnsi="宋体"/>
          <w:color w:val="000000"/>
          <w:sz w:val="24"/>
        </w:rPr>
      </w:pPr>
      <w:r>
        <w:rPr>
          <w:rFonts w:hint="eastAsia" w:ascii="宋体" w:hAnsi="宋体"/>
          <w:color w:val="000000"/>
          <w:sz w:val="24"/>
        </w:rPr>
        <w:t>6.第6列“处置投资的账面价值”：填报纳税人收回、转让或清算处置的投资项目，会计核算的处置投资的账面价值。</w:t>
      </w:r>
    </w:p>
    <w:p>
      <w:pPr>
        <w:spacing w:line="360" w:lineRule="auto"/>
        <w:ind w:firstLine="480" w:firstLineChars="200"/>
        <w:rPr>
          <w:rFonts w:ascii="宋体" w:hAnsi="宋体"/>
          <w:color w:val="000000"/>
          <w:sz w:val="24"/>
        </w:rPr>
      </w:pPr>
      <w:r>
        <w:rPr>
          <w:rFonts w:hint="eastAsia" w:ascii="宋体" w:hAnsi="宋体"/>
          <w:color w:val="000000"/>
          <w:sz w:val="24"/>
        </w:rPr>
        <w:t>7.第7列“处置投资的计税基础”：填报纳税人收回、转让或清算处置的投资项目，按税收规定计算的处置投资的计税金额。</w:t>
      </w:r>
    </w:p>
    <w:p>
      <w:pPr>
        <w:spacing w:line="360" w:lineRule="auto"/>
        <w:ind w:firstLine="480" w:firstLineChars="200"/>
        <w:rPr>
          <w:rFonts w:ascii="宋体" w:hAnsi="宋体"/>
          <w:color w:val="000000"/>
          <w:sz w:val="24"/>
        </w:rPr>
      </w:pPr>
      <w:r>
        <w:rPr>
          <w:rFonts w:hint="eastAsia" w:ascii="宋体" w:hAnsi="宋体"/>
          <w:color w:val="000000"/>
          <w:sz w:val="24"/>
        </w:rPr>
        <w:t>8.第8列“会计确认的处置所得或损失”：填报纳税人收回、转让或清算处置投资项目，会计核算确认的处置所得或损失，为第4-6列的余额，</w:t>
      </w:r>
      <w:r>
        <w:rPr>
          <w:rFonts w:hint="eastAsia" w:cs="Arial"/>
        </w:rPr>
        <w:t>损失以“-”号填列</w:t>
      </w:r>
      <w:r>
        <w:rPr>
          <w:rFonts w:hint="eastAsia" w:ascii="宋体" w:hAnsi="宋体"/>
          <w:color w:val="000000"/>
          <w:sz w:val="24"/>
        </w:rPr>
        <w:t>。</w:t>
      </w:r>
    </w:p>
    <w:p>
      <w:pPr>
        <w:spacing w:line="360" w:lineRule="auto"/>
        <w:ind w:firstLine="480" w:firstLineChars="200"/>
        <w:rPr>
          <w:rFonts w:ascii="宋体" w:hAnsi="宋体" w:cs="Calibri"/>
          <w:color w:val="000000"/>
          <w:sz w:val="24"/>
        </w:rPr>
      </w:pPr>
      <w:r>
        <w:rPr>
          <w:rFonts w:hint="eastAsia" w:ascii="宋体" w:hAnsi="宋体"/>
          <w:color w:val="000000"/>
          <w:sz w:val="24"/>
        </w:rPr>
        <w:t>9.第9列“税收计算的处置所得”：填报纳税人收回、转让或清算处置投资项目，按照税收规定计算的处置所得，为第5-7列的余额。</w:t>
      </w:r>
    </w:p>
    <w:p>
      <w:pPr>
        <w:spacing w:line="360" w:lineRule="auto"/>
        <w:ind w:firstLine="480" w:firstLineChars="200"/>
        <w:rPr>
          <w:rFonts w:ascii="宋体" w:hAnsi="宋体"/>
          <w:color w:val="000000"/>
          <w:sz w:val="24"/>
        </w:rPr>
      </w:pPr>
      <w:r>
        <w:rPr>
          <w:rFonts w:hint="eastAsia" w:ascii="宋体" w:hAnsi="宋体"/>
          <w:color w:val="000000"/>
          <w:sz w:val="24"/>
        </w:rPr>
        <w:t>10.第10列“纳税调整金额”：填报纳税人收回、转让或清算处置投资项目，会计处理与税收规定不一致需纳税调整金额，为第9-8列的余额。</w:t>
      </w:r>
    </w:p>
    <w:p>
      <w:pPr>
        <w:spacing w:line="360" w:lineRule="auto"/>
        <w:ind w:firstLine="480" w:firstLineChars="200"/>
        <w:rPr>
          <w:rFonts w:ascii="宋体" w:hAnsi="宋体"/>
          <w:color w:val="000000"/>
          <w:sz w:val="24"/>
        </w:rPr>
      </w:pPr>
      <w:r>
        <w:rPr>
          <w:rFonts w:hint="eastAsia" w:ascii="宋体" w:hAnsi="宋体"/>
          <w:color w:val="000000"/>
          <w:sz w:val="24"/>
        </w:rPr>
        <w:t>11.第11列“纳税调整金额”：填报第3+10列金额。</w:t>
      </w:r>
    </w:p>
    <w:p>
      <w:pPr>
        <w:pStyle w:val="11"/>
        <w:ind w:firstLine="482"/>
      </w:pPr>
      <w:r>
        <w:rPr>
          <w:rFonts w:hint="eastAsia"/>
        </w:rPr>
        <w:t>二、表内、表间关系</w:t>
      </w:r>
    </w:p>
    <w:p>
      <w:pPr>
        <w:pStyle w:val="12"/>
      </w:pPr>
      <w:r>
        <w:rPr>
          <w:rFonts w:hint="eastAsia"/>
        </w:rPr>
        <w:t>（一）表内关系</w:t>
      </w:r>
    </w:p>
    <w:p>
      <w:pPr>
        <w:pStyle w:val="9"/>
        <w:rPr>
          <w:color w:val="000000"/>
        </w:rPr>
      </w:pPr>
      <w:r>
        <w:rPr>
          <w:rFonts w:hint="eastAsia"/>
          <w:color w:val="000000"/>
        </w:rPr>
        <w:t>1.第10行＝第1+2</w:t>
      </w:r>
      <w:r>
        <w:rPr>
          <w:color w:val="000000"/>
        </w:rPr>
        <w:t>+3+4+5+6+7+8+9</w:t>
      </w:r>
      <w:r>
        <w:rPr>
          <w:rFonts w:hint="eastAsia"/>
          <w:color w:val="000000"/>
        </w:rPr>
        <w:t>行。</w:t>
      </w:r>
    </w:p>
    <w:p>
      <w:pPr>
        <w:pStyle w:val="9"/>
        <w:rPr>
          <w:color w:val="000000"/>
        </w:rPr>
      </w:pPr>
      <w:r>
        <w:rPr>
          <w:rFonts w:hint="eastAsia"/>
          <w:color w:val="000000"/>
        </w:rPr>
        <w:t>2.第3列＝第2-1列。</w:t>
      </w:r>
    </w:p>
    <w:p>
      <w:pPr>
        <w:pStyle w:val="9"/>
        <w:rPr>
          <w:color w:val="000000"/>
        </w:rPr>
      </w:pPr>
      <w:r>
        <w:rPr>
          <w:rFonts w:hint="eastAsia"/>
          <w:color w:val="000000"/>
        </w:rPr>
        <w:t>3.第8列＝第4-6列。</w:t>
      </w:r>
    </w:p>
    <w:p>
      <w:pPr>
        <w:pStyle w:val="9"/>
        <w:rPr>
          <w:color w:val="000000"/>
        </w:rPr>
      </w:pPr>
      <w:r>
        <w:rPr>
          <w:rFonts w:hint="eastAsia"/>
          <w:color w:val="000000"/>
        </w:rPr>
        <w:t>4.第9列＝第5-7列。</w:t>
      </w:r>
    </w:p>
    <w:p>
      <w:pPr>
        <w:pStyle w:val="9"/>
        <w:rPr>
          <w:color w:val="000000"/>
        </w:rPr>
      </w:pPr>
      <w:r>
        <w:rPr>
          <w:rFonts w:hint="eastAsia"/>
          <w:color w:val="000000"/>
        </w:rPr>
        <w:t>5.第10列＝第9-8列。</w:t>
      </w:r>
    </w:p>
    <w:p>
      <w:pPr>
        <w:pStyle w:val="9"/>
        <w:rPr>
          <w:color w:val="000000"/>
        </w:rPr>
      </w:pPr>
      <w:r>
        <w:rPr>
          <w:rFonts w:hint="eastAsia"/>
          <w:color w:val="000000"/>
        </w:rPr>
        <w:t>6.第11列＝第3+10列。</w:t>
      </w:r>
    </w:p>
    <w:p>
      <w:pPr>
        <w:pStyle w:val="12"/>
      </w:pPr>
      <w:r>
        <w:rPr>
          <w:rFonts w:hint="eastAsia"/>
        </w:rPr>
        <w:t>（二）表间关系</w:t>
      </w:r>
    </w:p>
    <w:p>
      <w:pPr>
        <w:pStyle w:val="9"/>
        <w:rPr>
          <w:color w:val="000000"/>
        </w:rPr>
      </w:pPr>
      <w:r>
        <w:rPr>
          <w:rFonts w:hint="eastAsia"/>
          <w:color w:val="000000"/>
        </w:rPr>
        <w:t>1.第10行1+8列＝表A105000第4行第1列。</w:t>
      </w:r>
    </w:p>
    <w:p>
      <w:pPr>
        <w:pStyle w:val="9"/>
        <w:rPr>
          <w:color w:val="000000"/>
        </w:rPr>
      </w:pPr>
      <w:r>
        <w:rPr>
          <w:rFonts w:hint="eastAsia"/>
          <w:color w:val="000000"/>
        </w:rPr>
        <w:t>2.第10行2+9列＝表A105000第4行第2列。</w:t>
      </w:r>
    </w:p>
    <w:p>
      <w:pPr>
        <w:pStyle w:val="9"/>
        <w:rPr>
          <w:color w:val="000000"/>
        </w:rPr>
        <w:sectPr>
          <w:pgSz w:w="11906" w:h="16838"/>
          <w:pgMar w:top="1985" w:right="1418" w:bottom="1928" w:left="1418" w:header="851" w:footer="992" w:gutter="113"/>
          <w:cols w:space="425" w:num="1"/>
          <w:docGrid w:linePitch="312" w:charSpace="0"/>
        </w:sectPr>
      </w:pPr>
      <w:r>
        <w:rPr>
          <w:rFonts w:hint="eastAsia"/>
          <w:color w:val="000000"/>
        </w:rPr>
        <w:t>3.若第10行第11列≥0，第10行第11列＝表A105000第4行第3列；若第10行第11列＜0，第10行第11列绝对值＝表A105000第4行第4列。</w:t>
      </w:r>
    </w:p>
    <w:p>
      <w:pPr>
        <w:pStyle w:val="13"/>
      </w:pPr>
      <w:bookmarkStart w:id="50" w:name="_Toc499456577"/>
      <w:r>
        <w:rPr>
          <w:rFonts w:hint="eastAsia"/>
        </w:rPr>
        <w:t>A105040</w:t>
      </w:r>
      <w:r>
        <w:tab/>
      </w:r>
      <w:r>
        <w:rPr>
          <w:rFonts w:hint="eastAsia"/>
        </w:rPr>
        <w:t>专项用途财政性资金纳税调整明细表</w:t>
      </w:r>
      <w:bookmarkEnd w:id="50"/>
    </w:p>
    <w:tbl>
      <w:tblPr>
        <w:tblStyle w:val="7"/>
        <w:tblW w:w="143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1416"/>
        <w:gridCol w:w="733"/>
        <w:gridCol w:w="938"/>
        <w:gridCol w:w="939"/>
        <w:gridCol w:w="939"/>
        <w:gridCol w:w="830"/>
        <w:gridCol w:w="830"/>
        <w:gridCol w:w="830"/>
        <w:gridCol w:w="830"/>
        <w:gridCol w:w="830"/>
        <w:gridCol w:w="830"/>
        <w:gridCol w:w="997"/>
        <w:gridCol w:w="939"/>
        <w:gridCol w:w="939"/>
        <w:gridCol w:w="9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vMerge w:val="restart"/>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行次</w:t>
            </w:r>
          </w:p>
        </w:tc>
        <w:tc>
          <w:tcPr>
            <w:tcW w:w="1416" w:type="dxa"/>
            <w:vMerge w:val="restart"/>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项目</w:t>
            </w:r>
          </w:p>
        </w:tc>
        <w:tc>
          <w:tcPr>
            <w:tcW w:w="733" w:type="dxa"/>
            <w:vMerge w:val="restart"/>
            <w:tcBorders>
              <w:right w:val="single" w:color="auto" w:sz="12"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取得年度</w:t>
            </w:r>
          </w:p>
        </w:tc>
        <w:tc>
          <w:tcPr>
            <w:tcW w:w="938" w:type="dxa"/>
            <w:vMerge w:val="restart"/>
            <w:tcBorders>
              <w:top w:val="single" w:color="auto" w:sz="12" w:space="0"/>
              <w:left w:val="single" w:color="auto" w:sz="12" w:space="0"/>
              <w:bottom w:val="single" w:color="auto" w:sz="6"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财政性资金</w:t>
            </w:r>
          </w:p>
        </w:tc>
        <w:tc>
          <w:tcPr>
            <w:tcW w:w="1878" w:type="dxa"/>
            <w:gridSpan w:val="2"/>
            <w:tcBorders>
              <w:top w:val="single" w:color="auto" w:sz="12" w:space="0"/>
              <w:bottom w:val="single" w:color="auto" w:sz="6" w:space="0"/>
              <w:right w:val="single" w:color="auto" w:sz="12"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其中：符合不征税收入条件的财政性资金</w:t>
            </w:r>
          </w:p>
        </w:tc>
        <w:tc>
          <w:tcPr>
            <w:tcW w:w="4150" w:type="dxa"/>
            <w:gridSpan w:val="5"/>
            <w:tcBorders>
              <w:left w:val="single" w:color="auto" w:sz="12"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以前年度支出情况</w:t>
            </w:r>
          </w:p>
        </w:tc>
        <w:tc>
          <w:tcPr>
            <w:tcW w:w="1827" w:type="dxa"/>
            <w:gridSpan w:val="2"/>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本年支出情况</w:t>
            </w:r>
          </w:p>
        </w:tc>
        <w:tc>
          <w:tcPr>
            <w:tcW w:w="2817" w:type="dxa"/>
            <w:gridSpan w:val="3"/>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本年结余情况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vMerge w:val="continue"/>
            <w:shd w:val="clear" w:color="auto" w:fill="auto"/>
            <w:vAlign w:val="center"/>
          </w:tcPr>
          <w:p>
            <w:pPr>
              <w:spacing w:line="240" w:lineRule="exact"/>
              <w:jc w:val="center"/>
              <w:rPr>
                <w:rFonts w:ascii="宋体" w:hAnsi="宋体" w:cs="宋体"/>
                <w:kern w:val="0"/>
                <w:sz w:val="20"/>
                <w:szCs w:val="20"/>
              </w:rPr>
            </w:pPr>
          </w:p>
        </w:tc>
        <w:tc>
          <w:tcPr>
            <w:tcW w:w="1416" w:type="dxa"/>
            <w:vMerge w:val="continue"/>
            <w:shd w:val="clear" w:color="auto" w:fill="auto"/>
            <w:vAlign w:val="center"/>
          </w:tcPr>
          <w:p>
            <w:pPr>
              <w:spacing w:line="240" w:lineRule="exact"/>
              <w:jc w:val="center"/>
              <w:rPr>
                <w:rFonts w:ascii="宋体" w:hAnsi="宋体" w:cs="宋体"/>
                <w:kern w:val="0"/>
                <w:sz w:val="20"/>
                <w:szCs w:val="20"/>
              </w:rPr>
            </w:pPr>
          </w:p>
        </w:tc>
        <w:tc>
          <w:tcPr>
            <w:tcW w:w="733" w:type="dxa"/>
            <w:vMerge w:val="continue"/>
            <w:tcBorders>
              <w:right w:val="single" w:color="auto" w:sz="12" w:space="0"/>
            </w:tcBorders>
            <w:shd w:val="clear" w:color="auto" w:fill="auto"/>
            <w:vAlign w:val="center"/>
          </w:tcPr>
          <w:p>
            <w:pPr>
              <w:widowControl/>
              <w:spacing w:line="240" w:lineRule="exact"/>
              <w:jc w:val="center"/>
              <w:rPr>
                <w:rFonts w:ascii="宋体" w:hAnsi="宋体" w:cs="宋体"/>
                <w:kern w:val="0"/>
                <w:sz w:val="20"/>
                <w:szCs w:val="20"/>
              </w:rPr>
            </w:pPr>
          </w:p>
        </w:tc>
        <w:tc>
          <w:tcPr>
            <w:tcW w:w="938" w:type="dxa"/>
            <w:vMerge w:val="continue"/>
            <w:tcBorders>
              <w:top w:val="single" w:color="auto" w:sz="6" w:space="0"/>
              <w:left w:val="single" w:color="auto" w:sz="12" w:space="0"/>
              <w:bottom w:val="single" w:color="auto" w:sz="6" w:space="0"/>
            </w:tcBorders>
            <w:shd w:val="clear" w:color="auto" w:fill="auto"/>
            <w:vAlign w:val="center"/>
          </w:tcPr>
          <w:p>
            <w:pPr>
              <w:widowControl/>
              <w:spacing w:line="240" w:lineRule="exact"/>
              <w:jc w:val="center"/>
              <w:rPr>
                <w:rFonts w:ascii="宋体" w:hAnsi="宋体" w:cs="宋体"/>
                <w:kern w:val="0"/>
                <w:sz w:val="20"/>
                <w:szCs w:val="20"/>
              </w:rPr>
            </w:pPr>
          </w:p>
        </w:tc>
        <w:tc>
          <w:tcPr>
            <w:tcW w:w="939" w:type="dxa"/>
            <w:tcBorders>
              <w:top w:val="single" w:color="auto" w:sz="6" w:space="0"/>
              <w:bottom w:val="single" w:color="auto" w:sz="6"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金额</w:t>
            </w:r>
          </w:p>
        </w:tc>
        <w:tc>
          <w:tcPr>
            <w:tcW w:w="939" w:type="dxa"/>
            <w:tcBorders>
              <w:top w:val="single" w:color="auto" w:sz="6" w:space="0"/>
              <w:bottom w:val="single" w:color="auto" w:sz="6" w:space="0"/>
              <w:right w:val="single" w:color="auto" w:sz="12" w:space="0"/>
            </w:tcBorders>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其中：计入本年损益的金额</w:t>
            </w:r>
          </w:p>
        </w:tc>
        <w:tc>
          <w:tcPr>
            <w:tcW w:w="830" w:type="dxa"/>
            <w:tcBorders>
              <w:left w:val="single" w:color="auto" w:sz="12" w:space="0"/>
            </w:tcBorders>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前五年度</w:t>
            </w:r>
          </w:p>
        </w:tc>
        <w:tc>
          <w:tcPr>
            <w:tcW w:w="830" w:type="dxa"/>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前四年度</w:t>
            </w:r>
          </w:p>
        </w:tc>
        <w:tc>
          <w:tcPr>
            <w:tcW w:w="830" w:type="dxa"/>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前三年度</w:t>
            </w:r>
          </w:p>
        </w:tc>
        <w:tc>
          <w:tcPr>
            <w:tcW w:w="830" w:type="dxa"/>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前二年度</w:t>
            </w:r>
          </w:p>
        </w:tc>
        <w:tc>
          <w:tcPr>
            <w:tcW w:w="830" w:type="dxa"/>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前一年度</w:t>
            </w:r>
          </w:p>
        </w:tc>
        <w:tc>
          <w:tcPr>
            <w:tcW w:w="830" w:type="dxa"/>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支出金额</w:t>
            </w:r>
          </w:p>
        </w:tc>
        <w:tc>
          <w:tcPr>
            <w:tcW w:w="997" w:type="dxa"/>
            <w:shd w:val="clear" w:color="auto" w:fill="auto"/>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其中：费用化支出金额</w:t>
            </w:r>
          </w:p>
        </w:tc>
        <w:tc>
          <w:tcPr>
            <w:tcW w:w="939" w:type="dxa"/>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结余金额</w:t>
            </w:r>
          </w:p>
        </w:tc>
        <w:tc>
          <w:tcPr>
            <w:tcW w:w="939" w:type="dxa"/>
            <w:shd w:val="clear" w:color="auto" w:fill="auto"/>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其中：上缴财政金额</w:t>
            </w:r>
          </w:p>
        </w:tc>
        <w:tc>
          <w:tcPr>
            <w:tcW w:w="939" w:type="dxa"/>
            <w:shd w:val="clear" w:color="auto" w:fill="auto"/>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应计入本年应税收入金额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vMerge w:val="continue"/>
            <w:shd w:val="clear" w:color="auto" w:fill="auto"/>
            <w:vAlign w:val="center"/>
          </w:tcPr>
          <w:p>
            <w:pPr>
              <w:widowControl/>
              <w:jc w:val="center"/>
              <w:rPr>
                <w:rFonts w:ascii="宋体" w:hAnsi="宋体" w:cs="宋体"/>
                <w:kern w:val="0"/>
                <w:sz w:val="20"/>
                <w:szCs w:val="20"/>
              </w:rPr>
            </w:pPr>
          </w:p>
        </w:tc>
        <w:tc>
          <w:tcPr>
            <w:tcW w:w="1416" w:type="dxa"/>
            <w:vMerge w:val="continue"/>
            <w:shd w:val="clear" w:color="auto" w:fill="auto"/>
            <w:vAlign w:val="center"/>
          </w:tcPr>
          <w:p>
            <w:pPr>
              <w:widowControl/>
              <w:jc w:val="center"/>
              <w:rPr>
                <w:rFonts w:ascii="宋体" w:hAnsi="宋体" w:cs="宋体"/>
                <w:kern w:val="0"/>
                <w:sz w:val="20"/>
                <w:szCs w:val="20"/>
              </w:rPr>
            </w:pPr>
          </w:p>
        </w:tc>
        <w:tc>
          <w:tcPr>
            <w:tcW w:w="733" w:type="dxa"/>
            <w:tcBorders>
              <w:right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38" w:type="dxa"/>
            <w:tcBorders>
              <w:top w:val="single" w:color="auto" w:sz="6" w:space="0"/>
              <w:left w:val="single" w:color="auto" w:sz="12"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39"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39" w:type="dxa"/>
            <w:tcBorders>
              <w:top w:val="single" w:color="auto" w:sz="6" w:space="0"/>
              <w:bottom w:val="single" w:color="auto" w:sz="6" w:space="0"/>
              <w:right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30" w:type="dxa"/>
            <w:tcBorders>
              <w:left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8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99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93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93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93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前五年度</w:t>
            </w:r>
          </w:p>
        </w:tc>
        <w:tc>
          <w:tcPr>
            <w:tcW w:w="733" w:type="dxa"/>
            <w:tcBorders>
              <w:right w:val="single" w:color="auto" w:sz="12" w:space="0"/>
            </w:tcBorders>
            <w:shd w:val="clear" w:color="auto" w:fill="auto"/>
            <w:vAlign w:val="center"/>
          </w:tcPr>
          <w:p>
            <w:pPr>
              <w:widowControl/>
              <w:jc w:val="center"/>
              <w:rPr>
                <w:rFonts w:ascii="宋体" w:hAnsi="宋体" w:cs="宋体"/>
                <w:kern w:val="0"/>
                <w:sz w:val="20"/>
                <w:szCs w:val="20"/>
              </w:rPr>
            </w:pPr>
          </w:p>
        </w:tc>
        <w:tc>
          <w:tcPr>
            <w:tcW w:w="938" w:type="dxa"/>
            <w:tcBorders>
              <w:top w:val="single" w:color="auto" w:sz="6" w:space="0"/>
              <w:left w:val="single" w:color="auto" w:sz="12" w:space="0"/>
              <w:bottom w:val="single" w:color="auto" w:sz="6" w:space="0"/>
            </w:tcBorders>
            <w:shd w:val="clear" w:color="auto" w:fill="auto"/>
            <w:vAlign w:val="center"/>
          </w:tcPr>
          <w:p>
            <w:pPr>
              <w:widowControl/>
              <w:jc w:val="center"/>
              <w:rPr>
                <w:rFonts w:ascii="宋体" w:hAnsi="宋体" w:cs="宋体"/>
                <w:kern w:val="0"/>
                <w:sz w:val="20"/>
                <w:szCs w:val="20"/>
              </w:rPr>
            </w:pPr>
          </w:p>
        </w:tc>
        <w:tc>
          <w:tcPr>
            <w:tcW w:w="939"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p>
        </w:tc>
        <w:tc>
          <w:tcPr>
            <w:tcW w:w="939" w:type="dxa"/>
            <w:tcBorders>
              <w:top w:val="single" w:color="auto" w:sz="6" w:space="0"/>
              <w:bottom w:val="single" w:color="auto" w:sz="6" w:space="0"/>
              <w:right w:val="single" w:color="auto" w:sz="12" w:space="0"/>
            </w:tcBorders>
            <w:shd w:val="clear" w:color="auto" w:fill="auto"/>
            <w:vAlign w:val="center"/>
          </w:tcPr>
          <w:p>
            <w:pPr>
              <w:widowControl/>
              <w:jc w:val="center"/>
              <w:rPr>
                <w:rFonts w:ascii="宋体" w:hAnsi="宋体" w:cs="宋体"/>
                <w:kern w:val="0"/>
                <w:sz w:val="18"/>
                <w:szCs w:val="18"/>
              </w:rPr>
            </w:pPr>
          </w:p>
        </w:tc>
        <w:tc>
          <w:tcPr>
            <w:tcW w:w="830" w:type="dxa"/>
            <w:tcBorders>
              <w:left w:val="single" w:color="auto" w:sz="12" w:space="0"/>
            </w:tcBorders>
            <w:shd w:val="clear" w:color="auto" w:fill="auto"/>
            <w:vAlign w:val="center"/>
          </w:tcPr>
          <w:p>
            <w:pPr>
              <w:widowControl/>
              <w:jc w:val="center"/>
              <w:rPr>
                <w:rFonts w:ascii="宋体" w:hAnsi="宋体" w:cs="宋体"/>
                <w:kern w:val="0"/>
                <w:sz w:val="20"/>
                <w:szCs w:val="20"/>
              </w:rPr>
            </w:pPr>
          </w:p>
        </w:tc>
        <w:tc>
          <w:tcPr>
            <w:tcW w:w="830" w:type="dxa"/>
            <w:shd w:val="clear" w:color="auto" w:fill="auto"/>
            <w:vAlign w:val="center"/>
          </w:tcPr>
          <w:p>
            <w:pPr>
              <w:widowControl/>
              <w:jc w:val="center"/>
              <w:rPr>
                <w:rFonts w:ascii="宋体" w:hAnsi="宋体" w:cs="宋体"/>
                <w:kern w:val="0"/>
                <w:sz w:val="20"/>
                <w:szCs w:val="20"/>
              </w:rPr>
            </w:pPr>
          </w:p>
        </w:tc>
        <w:tc>
          <w:tcPr>
            <w:tcW w:w="830" w:type="dxa"/>
            <w:shd w:val="clear" w:color="auto" w:fill="auto"/>
            <w:vAlign w:val="center"/>
          </w:tcPr>
          <w:p>
            <w:pPr>
              <w:widowControl/>
              <w:jc w:val="center"/>
              <w:rPr>
                <w:rFonts w:ascii="宋体" w:hAnsi="宋体" w:cs="宋体"/>
                <w:kern w:val="0"/>
                <w:sz w:val="20"/>
                <w:szCs w:val="20"/>
              </w:rPr>
            </w:pPr>
          </w:p>
        </w:tc>
        <w:tc>
          <w:tcPr>
            <w:tcW w:w="830" w:type="dxa"/>
            <w:shd w:val="clear" w:color="auto" w:fill="auto"/>
            <w:vAlign w:val="center"/>
          </w:tcPr>
          <w:p>
            <w:pPr>
              <w:widowControl/>
              <w:jc w:val="center"/>
              <w:rPr>
                <w:rFonts w:ascii="宋体" w:hAnsi="宋体" w:cs="宋体"/>
                <w:kern w:val="0"/>
                <w:sz w:val="20"/>
                <w:szCs w:val="20"/>
              </w:rPr>
            </w:pPr>
          </w:p>
        </w:tc>
        <w:tc>
          <w:tcPr>
            <w:tcW w:w="830" w:type="dxa"/>
            <w:shd w:val="clear" w:color="auto" w:fill="auto"/>
            <w:vAlign w:val="center"/>
          </w:tcPr>
          <w:p>
            <w:pPr>
              <w:widowControl/>
              <w:jc w:val="center"/>
              <w:rPr>
                <w:rFonts w:ascii="宋体" w:hAnsi="宋体" w:cs="宋体"/>
                <w:kern w:val="0"/>
                <w:sz w:val="20"/>
                <w:szCs w:val="20"/>
              </w:rPr>
            </w:pPr>
          </w:p>
        </w:tc>
        <w:tc>
          <w:tcPr>
            <w:tcW w:w="830" w:type="dxa"/>
            <w:shd w:val="clear" w:color="auto" w:fill="auto"/>
            <w:vAlign w:val="center"/>
          </w:tcPr>
          <w:p>
            <w:pPr>
              <w:widowControl/>
              <w:jc w:val="center"/>
              <w:rPr>
                <w:rFonts w:ascii="宋体" w:hAnsi="宋体" w:cs="宋体"/>
                <w:kern w:val="0"/>
                <w:sz w:val="18"/>
                <w:szCs w:val="18"/>
              </w:rPr>
            </w:pPr>
          </w:p>
        </w:tc>
        <w:tc>
          <w:tcPr>
            <w:tcW w:w="997" w:type="dxa"/>
            <w:shd w:val="clear" w:color="auto" w:fill="auto"/>
            <w:vAlign w:val="center"/>
          </w:tcPr>
          <w:p>
            <w:pPr>
              <w:widowControl/>
              <w:jc w:val="center"/>
              <w:rPr>
                <w:rFonts w:ascii="宋体" w:hAnsi="宋体" w:cs="宋体"/>
                <w:kern w:val="0"/>
                <w:sz w:val="18"/>
                <w:szCs w:val="18"/>
              </w:rPr>
            </w:pPr>
          </w:p>
        </w:tc>
        <w:tc>
          <w:tcPr>
            <w:tcW w:w="939" w:type="dxa"/>
            <w:shd w:val="clear" w:color="auto" w:fill="auto"/>
            <w:vAlign w:val="center"/>
          </w:tcPr>
          <w:p>
            <w:pPr>
              <w:widowControl/>
              <w:jc w:val="center"/>
              <w:rPr>
                <w:rFonts w:ascii="宋体" w:hAnsi="宋体" w:cs="宋体"/>
                <w:kern w:val="0"/>
                <w:sz w:val="20"/>
                <w:szCs w:val="20"/>
              </w:rPr>
            </w:pPr>
          </w:p>
        </w:tc>
        <w:tc>
          <w:tcPr>
            <w:tcW w:w="939" w:type="dxa"/>
            <w:shd w:val="clear" w:color="auto" w:fill="auto"/>
            <w:vAlign w:val="center"/>
          </w:tcPr>
          <w:p>
            <w:pPr>
              <w:widowControl/>
              <w:jc w:val="center"/>
              <w:rPr>
                <w:rFonts w:ascii="宋体" w:hAnsi="宋体" w:cs="宋体"/>
                <w:kern w:val="0"/>
                <w:sz w:val="20"/>
                <w:szCs w:val="20"/>
              </w:rPr>
            </w:pPr>
          </w:p>
        </w:tc>
        <w:tc>
          <w:tcPr>
            <w:tcW w:w="93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前四年度</w:t>
            </w:r>
          </w:p>
        </w:tc>
        <w:tc>
          <w:tcPr>
            <w:tcW w:w="733" w:type="dxa"/>
            <w:tcBorders>
              <w:right w:val="single" w:color="auto" w:sz="12" w:space="0"/>
            </w:tcBorders>
            <w:shd w:val="clear" w:color="auto" w:fill="auto"/>
            <w:vAlign w:val="center"/>
          </w:tcPr>
          <w:p>
            <w:pPr>
              <w:widowControl/>
              <w:jc w:val="center"/>
              <w:rPr>
                <w:rFonts w:ascii="宋体" w:hAnsi="宋体" w:cs="宋体"/>
                <w:kern w:val="0"/>
                <w:sz w:val="20"/>
                <w:szCs w:val="20"/>
              </w:rPr>
            </w:pPr>
          </w:p>
        </w:tc>
        <w:tc>
          <w:tcPr>
            <w:tcW w:w="938" w:type="dxa"/>
            <w:tcBorders>
              <w:top w:val="single" w:color="auto" w:sz="6" w:space="0"/>
              <w:left w:val="single" w:color="auto" w:sz="12" w:space="0"/>
              <w:bottom w:val="single" w:color="auto" w:sz="6" w:space="0"/>
            </w:tcBorders>
            <w:shd w:val="clear" w:color="auto" w:fill="auto"/>
            <w:vAlign w:val="center"/>
          </w:tcPr>
          <w:p>
            <w:pPr>
              <w:widowControl/>
              <w:jc w:val="center"/>
              <w:rPr>
                <w:rFonts w:ascii="宋体" w:hAnsi="宋体" w:cs="宋体"/>
                <w:kern w:val="0"/>
                <w:sz w:val="20"/>
                <w:szCs w:val="20"/>
              </w:rPr>
            </w:pPr>
          </w:p>
        </w:tc>
        <w:tc>
          <w:tcPr>
            <w:tcW w:w="939"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p>
        </w:tc>
        <w:tc>
          <w:tcPr>
            <w:tcW w:w="939" w:type="dxa"/>
            <w:tcBorders>
              <w:top w:val="single" w:color="auto" w:sz="6" w:space="0"/>
              <w:bottom w:val="single" w:color="auto" w:sz="6" w:space="0"/>
              <w:right w:val="single" w:color="auto" w:sz="12" w:space="0"/>
            </w:tcBorders>
            <w:shd w:val="clear" w:color="auto" w:fill="auto"/>
            <w:vAlign w:val="center"/>
          </w:tcPr>
          <w:p>
            <w:pPr>
              <w:widowControl/>
              <w:jc w:val="center"/>
              <w:rPr>
                <w:rFonts w:ascii="宋体" w:hAnsi="宋体" w:cs="宋体"/>
                <w:kern w:val="0"/>
                <w:sz w:val="20"/>
                <w:szCs w:val="20"/>
              </w:rPr>
            </w:pPr>
          </w:p>
        </w:tc>
        <w:tc>
          <w:tcPr>
            <w:tcW w:w="830" w:type="dxa"/>
            <w:tcBorders>
              <w:left w:val="single" w:color="auto" w:sz="1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shd w:val="clear" w:color="auto" w:fill="auto"/>
            <w:vAlign w:val="center"/>
          </w:tcPr>
          <w:p>
            <w:pPr>
              <w:widowControl/>
              <w:jc w:val="center"/>
              <w:rPr>
                <w:rFonts w:ascii="宋体" w:hAnsi="宋体" w:cs="宋体"/>
                <w:kern w:val="0"/>
                <w:sz w:val="20"/>
                <w:szCs w:val="20"/>
              </w:rPr>
            </w:pPr>
          </w:p>
        </w:tc>
        <w:tc>
          <w:tcPr>
            <w:tcW w:w="830" w:type="dxa"/>
            <w:shd w:val="clear" w:color="auto" w:fill="auto"/>
            <w:vAlign w:val="center"/>
          </w:tcPr>
          <w:p>
            <w:pPr>
              <w:widowControl/>
              <w:jc w:val="center"/>
              <w:rPr>
                <w:rFonts w:ascii="宋体" w:hAnsi="宋体" w:cs="宋体"/>
                <w:kern w:val="0"/>
                <w:sz w:val="20"/>
                <w:szCs w:val="20"/>
              </w:rPr>
            </w:pPr>
          </w:p>
        </w:tc>
        <w:tc>
          <w:tcPr>
            <w:tcW w:w="830" w:type="dxa"/>
            <w:shd w:val="clear" w:color="auto" w:fill="auto"/>
            <w:vAlign w:val="center"/>
          </w:tcPr>
          <w:p>
            <w:pPr>
              <w:widowControl/>
              <w:jc w:val="center"/>
              <w:rPr>
                <w:rFonts w:ascii="宋体" w:hAnsi="宋体" w:cs="宋体"/>
                <w:kern w:val="0"/>
                <w:sz w:val="20"/>
                <w:szCs w:val="20"/>
              </w:rPr>
            </w:pPr>
          </w:p>
        </w:tc>
        <w:tc>
          <w:tcPr>
            <w:tcW w:w="830" w:type="dxa"/>
            <w:shd w:val="clear" w:color="auto" w:fill="auto"/>
            <w:vAlign w:val="center"/>
          </w:tcPr>
          <w:p>
            <w:pPr>
              <w:widowControl/>
              <w:jc w:val="center"/>
              <w:rPr>
                <w:rFonts w:ascii="宋体" w:hAnsi="宋体" w:cs="宋体"/>
                <w:kern w:val="0"/>
                <w:sz w:val="20"/>
                <w:szCs w:val="20"/>
              </w:rPr>
            </w:pPr>
          </w:p>
        </w:tc>
        <w:tc>
          <w:tcPr>
            <w:tcW w:w="830" w:type="dxa"/>
            <w:shd w:val="clear" w:color="auto" w:fill="auto"/>
            <w:vAlign w:val="center"/>
          </w:tcPr>
          <w:p>
            <w:pPr>
              <w:widowControl/>
              <w:jc w:val="center"/>
              <w:rPr>
                <w:rFonts w:ascii="宋体" w:hAnsi="宋体" w:cs="宋体"/>
                <w:kern w:val="0"/>
                <w:sz w:val="20"/>
                <w:szCs w:val="20"/>
              </w:rPr>
            </w:pPr>
          </w:p>
        </w:tc>
        <w:tc>
          <w:tcPr>
            <w:tcW w:w="997" w:type="dxa"/>
            <w:shd w:val="clear" w:color="auto" w:fill="auto"/>
            <w:vAlign w:val="center"/>
          </w:tcPr>
          <w:p>
            <w:pPr>
              <w:widowControl/>
              <w:jc w:val="center"/>
              <w:rPr>
                <w:rFonts w:ascii="宋体" w:hAnsi="宋体" w:cs="宋体"/>
                <w:kern w:val="0"/>
                <w:sz w:val="20"/>
                <w:szCs w:val="20"/>
              </w:rPr>
            </w:pPr>
          </w:p>
        </w:tc>
        <w:tc>
          <w:tcPr>
            <w:tcW w:w="939" w:type="dxa"/>
            <w:shd w:val="clear" w:color="auto" w:fill="auto"/>
            <w:vAlign w:val="center"/>
          </w:tcPr>
          <w:p>
            <w:pPr>
              <w:widowControl/>
              <w:jc w:val="center"/>
              <w:rPr>
                <w:rFonts w:ascii="宋体" w:hAnsi="宋体" w:cs="宋体"/>
                <w:kern w:val="0"/>
                <w:sz w:val="20"/>
                <w:szCs w:val="20"/>
              </w:rPr>
            </w:pPr>
          </w:p>
        </w:tc>
        <w:tc>
          <w:tcPr>
            <w:tcW w:w="939" w:type="dxa"/>
            <w:shd w:val="clear" w:color="auto" w:fill="auto"/>
            <w:vAlign w:val="center"/>
          </w:tcPr>
          <w:p>
            <w:pPr>
              <w:widowControl/>
              <w:jc w:val="center"/>
              <w:rPr>
                <w:rFonts w:ascii="宋体" w:hAnsi="宋体" w:cs="宋体"/>
                <w:kern w:val="0"/>
                <w:sz w:val="20"/>
                <w:szCs w:val="20"/>
              </w:rPr>
            </w:pPr>
          </w:p>
        </w:tc>
        <w:tc>
          <w:tcPr>
            <w:tcW w:w="93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前三年度</w:t>
            </w:r>
          </w:p>
        </w:tc>
        <w:tc>
          <w:tcPr>
            <w:tcW w:w="733" w:type="dxa"/>
            <w:tcBorders>
              <w:right w:val="single" w:color="auto" w:sz="12" w:space="0"/>
            </w:tcBorders>
            <w:shd w:val="clear" w:color="auto" w:fill="auto"/>
            <w:vAlign w:val="center"/>
          </w:tcPr>
          <w:p>
            <w:pPr>
              <w:widowControl/>
              <w:jc w:val="center"/>
              <w:rPr>
                <w:rFonts w:ascii="宋体" w:hAnsi="宋体" w:cs="宋体"/>
                <w:kern w:val="0"/>
                <w:sz w:val="20"/>
                <w:szCs w:val="20"/>
              </w:rPr>
            </w:pPr>
          </w:p>
        </w:tc>
        <w:tc>
          <w:tcPr>
            <w:tcW w:w="938" w:type="dxa"/>
            <w:tcBorders>
              <w:top w:val="single" w:color="auto" w:sz="6" w:space="0"/>
              <w:left w:val="single" w:color="auto" w:sz="12" w:space="0"/>
              <w:bottom w:val="single" w:color="auto" w:sz="6" w:space="0"/>
            </w:tcBorders>
            <w:shd w:val="clear" w:color="auto" w:fill="auto"/>
            <w:vAlign w:val="center"/>
          </w:tcPr>
          <w:p>
            <w:pPr>
              <w:widowControl/>
              <w:jc w:val="center"/>
              <w:rPr>
                <w:rFonts w:ascii="宋体" w:hAnsi="宋体" w:cs="宋体"/>
                <w:kern w:val="0"/>
                <w:sz w:val="20"/>
                <w:szCs w:val="20"/>
              </w:rPr>
            </w:pPr>
          </w:p>
        </w:tc>
        <w:tc>
          <w:tcPr>
            <w:tcW w:w="939"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p>
        </w:tc>
        <w:tc>
          <w:tcPr>
            <w:tcW w:w="939" w:type="dxa"/>
            <w:tcBorders>
              <w:top w:val="single" w:color="auto" w:sz="6" w:space="0"/>
              <w:bottom w:val="single" w:color="auto" w:sz="6" w:space="0"/>
              <w:right w:val="single" w:color="auto" w:sz="12" w:space="0"/>
            </w:tcBorders>
            <w:shd w:val="clear" w:color="auto" w:fill="auto"/>
            <w:vAlign w:val="center"/>
          </w:tcPr>
          <w:p>
            <w:pPr>
              <w:widowControl/>
              <w:jc w:val="center"/>
              <w:rPr>
                <w:rFonts w:ascii="宋体" w:hAnsi="宋体" w:cs="宋体"/>
                <w:kern w:val="0"/>
                <w:sz w:val="20"/>
                <w:szCs w:val="20"/>
              </w:rPr>
            </w:pPr>
          </w:p>
        </w:tc>
        <w:tc>
          <w:tcPr>
            <w:tcW w:w="830" w:type="dxa"/>
            <w:tcBorders>
              <w:left w:val="single" w:color="auto" w:sz="1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shd w:val="clear" w:color="auto" w:fill="auto"/>
            <w:vAlign w:val="center"/>
          </w:tcPr>
          <w:p>
            <w:pPr>
              <w:widowControl/>
              <w:jc w:val="center"/>
              <w:rPr>
                <w:rFonts w:ascii="宋体" w:hAnsi="宋体" w:cs="宋体"/>
                <w:kern w:val="0"/>
                <w:sz w:val="20"/>
                <w:szCs w:val="20"/>
              </w:rPr>
            </w:pPr>
          </w:p>
        </w:tc>
        <w:tc>
          <w:tcPr>
            <w:tcW w:w="830" w:type="dxa"/>
            <w:shd w:val="clear" w:color="auto" w:fill="auto"/>
            <w:vAlign w:val="center"/>
          </w:tcPr>
          <w:p>
            <w:pPr>
              <w:widowControl/>
              <w:jc w:val="center"/>
              <w:rPr>
                <w:rFonts w:ascii="宋体" w:hAnsi="宋体" w:cs="宋体"/>
                <w:kern w:val="0"/>
                <w:sz w:val="20"/>
                <w:szCs w:val="20"/>
              </w:rPr>
            </w:pPr>
          </w:p>
        </w:tc>
        <w:tc>
          <w:tcPr>
            <w:tcW w:w="830" w:type="dxa"/>
            <w:shd w:val="clear" w:color="auto" w:fill="auto"/>
            <w:vAlign w:val="center"/>
          </w:tcPr>
          <w:p>
            <w:pPr>
              <w:widowControl/>
              <w:jc w:val="center"/>
              <w:rPr>
                <w:rFonts w:ascii="宋体" w:hAnsi="宋体" w:cs="宋体"/>
                <w:kern w:val="0"/>
                <w:sz w:val="20"/>
                <w:szCs w:val="20"/>
              </w:rPr>
            </w:pPr>
          </w:p>
        </w:tc>
        <w:tc>
          <w:tcPr>
            <w:tcW w:w="830" w:type="dxa"/>
            <w:shd w:val="clear" w:color="auto" w:fill="auto"/>
            <w:vAlign w:val="center"/>
          </w:tcPr>
          <w:p>
            <w:pPr>
              <w:widowControl/>
              <w:jc w:val="center"/>
              <w:rPr>
                <w:rFonts w:ascii="宋体" w:hAnsi="宋体" w:cs="宋体"/>
                <w:kern w:val="0"/>
                <w:sz w:val="20"/>
                <w:szCs w:val="20"/>
              </w:rPr>
            </w:pPr>
          </w:p>
        </w:tc>
        <w:tc>
          <w:tcPr>
            <w:tcW w:w="997" w:type="dxa"/>
            <w:shd w:val="clear" w:color="auto" w:fill="auto"/>
            <w:vAlign w:val="center"/>
          </w:tcPr>
          <w:p>
            <w:pPr>
              <w:widowControl/>
              <w:jc w:val="center"/>
              <w:rPr>
                <w:rFonts w:ascii="宋体" w:hAnsi="宋体" w:cs="宋体"/>
                <w:kern w:val="0"/>
                <w:sz w:val="20"/>
                <w:szCs w:val="20"/>
              </w:rPr>
            </w:pPr>
          </w:p>
        </w:tc>
        <w:tc>
          <w:tcPr>
            <w:tcW w:w="939" w:type="dxa"/>
            <w:shd w:val="clear" w:color="auto" w:fill="auto"/>
            <w:vAlign w:val="center"/>
          </w:tcPr>
          <w:p>
            <w:pPr>
              <w:widowControl/>
              <w:jc w:val="center"/>
              <w:rPr>
                <w:rFonts w:ascii="宋体" w:hAnsi="宋体" w:cs="宋体"/>
                <w:kern w:val="0"/>
                <w:sz w:val="20"/>
                <w:szCs w:val="20"/>
              </w:rPr>
            </w:pPr>
          </w:p>
        </w:tc>
        <w:tc>
          <w:tcPr>
            <w:tcW w:w="939" w:type="dxa"/>
            <w:shd w:val="clear" w:color="auto" w:fill="auto"/>
            <w:vAlign w:val="center"/>
          </w:tcPr>
          <w:p>
            <w:pPr>
              <w:widowControl/>
              <w:jc w:val="center"/>
              <w:rPr>
                <w:rFonts w:ascii="宋体" w:hAnsi="宋体" w:cs="宋体"/>
                <w:kern w:val="0"/>
                <w:sz w:val="20"/>
                <w:szCs w:val="20"/>
              </w:rPr>
            </w:pPr>
          </w:p>
        </w:tc>
        <w:tc>
          <w:tcPr>
            <w:tcW w:w="93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前二年度</w:t>
            </w:r>
          </w:p>
        </w:tc>
        <w:tc>
          <w:tcPr>
            <w:tcW w:w="733" w:type="dxa"/>
            <w:tcBorders>
              <w:right w:val="single" w:color="auto" w:sz="12" w:space="0"/>
            </w:tcBorders>
            <w:shd w:val="clear" w:color="auto" w:fill="auto"/>
            <w:vAlign w:val="center"/>
          </w:tcPr>
          <w:p>
            <w:pPr>
              <w:widowControl/>
              <w:jc w:val="center"/>
              <w:rPr>
                <w:rFonts w:ascii="宋体" w:hAnsi="宋体" w:cs="宋体"/>
                <w:kern w:val="0"/>
                <w:sz w:val="20"/>
                <w:szCs w:val="20"/>
              </w:rPr>
            </w:pPr>
          </w:p>
        </w:tc>
        <w:tc>
          <w:tcPr>
            <w:tcW w:w="938" w:type="dxa"/>
            <w:tcBorders>
              <w:top w:val="single" w:color="auto" w:sz="6" w:space="0"/>
              <w:left w:val="single" w:color="auto" w:sz="12" w:space="0"/>
              <w:bottom w:val="single" w:color="auto" w:sz="6" w:space="0"/>
            </w:tcBorders>
            <w:shd w:val="clear" w:color="auto" w:fill="auto"/>
            <w:vAlign w:val="center"/>
          </w:tcPr>
          <w:p>
            <w:pPr>
              <w:widowControl/>
              <w:jc w:val="center"/>
              <w:rPr>
                <w:rFonts w:ascii="宋体" w:hAnsi="宋体" w:cs="宋体"/>
                <w:kern w:val="0"/>
                <w:sz w:val="20"/>
                <w:szCs w:val="20"/>
              </w:rPr>
            </w:pPr>
          </w:p>
        </w:tc>
        <w:tc>
          <w:tcPr>
            <w:tcW w:w="939"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p>
        </w:tc>
        <w:tc>
          <w:tcPr>
            <w:tcW w:w="939" w:type="dxa"/>
            <w:tcBorders>
              <w:top w:val="single" w:color="auto" w:sz="6" w:space="0"/>
              <w:bottom w:val="single" w:color="auto" w:sz="6" w:space="0"/>
              <w:right w:val="single" w:color="auto" w:sz="12" w:space="0"/>
            </w:tcBorders>
            <w:shd w:val="clear" w:color="auto" w:fill="auto"/>
            <w:vAlign w:val="center"/>
          </w:tcPr>
          <w:p>
            <w:pPr>
              <w:widowControl/>
              <w:jc w:val="center"/>
              <w:rPr>
                <w:rFonts w:ascii="宋体" w:hAnsi="宋体" w:cs="宋体"/>
                <w:kern w:val="0"/>
                <w:sz w:val="20"/>
                <w:szCs w:val="20"/>
              </w:rPr>
            </w:pPr>
          </w:p>
        </w:tc>
        <w:tc>
          <w:tcPr>
            <w:tcW w:w="830" w:type="dxa"/>
            <w:tcBorders>
              <w:left w:val="single" w:color="auto" w:sz="1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shd w:val="clear" w:color="auto" w:fill="auto"/>
            <w:vAlign w:val="center"/>
          </w:tcPr>
          <w:p>
            <w:pPr>
              <w:widowControl/>
              <w:jc w:val="center"/>
              <w:rPr>
                <w:rFonts w:ascii="宋体" w:hAnsi="宋体" w:cs="宋体"/>
                <w:kern w:val="0"/>
                <w:sz w:val="20"/>
                <w:szCs w:val="20"/>
              </w:rPr>
            </w:pPr>
          </w:p>
        </w:tc>
        <w:tc>
          <w:tcPr>
            <w:tcW w:w="830" w:type="dxa"/>
            <w:shd w:val="clear" w:color="auto" w:fill="auto"/>
            <w:vAlign w:val="center"/>
          </w:tcPr>
          <w:p>
            <w:pPr>
              <w:widowControl/>
              <w:jc w:val="center"/>
              <w:rPr>
                <w:rFonts w:ascii="宋体" w:hAnsi="宋体" w:cs="宋体"/>
                <w:kern w:val="0"/>
                <w:sz w:val="20"/>
                <w:szCs w:val="20"/>
              </w:rPr>
            </w:pPr>
          </w:p>
        </w:tc>
        <w:tc>
          <w:tcPr>
            <w:tcW w:w="830" w:type="dxa"/>
            <w:shd w:val="clear" w:color="auto" w:fill="auto"/>
            <w:vAlign w:val="center"/>
          </w:tcPr>
          <w:p>
            <w:pPr>
              <w:widowControl/>
              <w:jc w:val="center"/>
              <w:rPr>
                <w:rFonts w:ascii="宋体" w:hAnsi="宋体" w:cs="宋体"/>
                <w:kern w:val="0"/>
                <w:sz w:val="20"/>
                <w:szCs w:val="20"/>
              </w:rPr>
            </w:pPr>
          </w:p>
        </w:tc>
        <w:tc>
          <w:tcPr>
            <w:tcW w:w="997" w:type="dxa"/>
            <w:shd w:val="clear" w:color="auto" w:fill="auto"/>
            <w:vAlign w:val="center"/>
          </w:tcPr>
          <w:p>
            <w:pPr>
              <w:widowControl/>
              <w:jc w:val="center"/>
              <w:rPr>
                <w:rFonts w:ascii="宋体" w:hAnsi="宋体" w:cs="宋体"/>
                <w:kern w:val="0"/>
                <w:sz w:val="20"/>
                <w:szCs w:val="20"/>
              </w:rPr>
            </w:pPr>
          </w:p>
        </w:tc>
        <w:tc>
          <w:tcPr>
            <w:tcW w:w="939" w:type="dxa"/>
            <w:shd w:val="clear" w:color="auto" w:fill="auto"/>
            <w:vAlign w:val="center"/>
          </w:tcPr>
          <w:p>
            <w:pPr>
              <w:widowControl/>
              <w:jc w:val="center"/>
              <w:rPr>
                <w:rFonts w:ascii="宋体" w:hAnsi="宋体" w:cs="宋体"/>
                <w:kern w:val="0"/>
                <w:sz w:val="20"/>
                <w:szCs w:val="20"/>
              </w:rPr>
            </w:pPr>
          </w:p>
        </w:tc>
        <w:tc>
          <w:tcPr>
            <w:tcW w:w="939" w:type="dxa"/>
            <w:shd w:val="clear" w:color="auto" w:fill="auto"/>
            <w:vAlign w:val="center"/>
          </w:tcPr>
          <w:p>
            <w:pPr>
              <w:widowControl/>
              <w:jc w:val="center"/>
              <w:rPr>
                <w:rFonts w:ascii="宋体" w:hAnsi="宋体" w:cs="宋体"/>
                <w:kern w:val="0"/>
                <w:sz w:val="20"/>
                <w:szCs w:val="20"/>
              </w:rPr>
            </w:pPr>
          </w:p>
        </w:tc>
        <w:tc>
          <w:tcPr>
            <w:tcW w:w="93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前一年度</w:t>
            </w:r>
          </w:p>
        </w:tc>
        <w:tc>
          <w:tcPr>
            <w:tcW w:w="733" w:type="dxa"/>
            <w:tcBorders>
              <w:right w:val="single" w:color="auto" w:sz="12" w:space="0"/>
            </w:tcBorders>
            <w:shd w:val="clear" w:color="auto" w:fill="auto"/>
            <w:vAlign w:val="center"/>
          </w:tcPr>
          <w:p>
            <w:pPr>
              <w:widowControl/>
              <w:jc w:val="center"/>
              <w:rPr>
                <w:rFonts w:ascii="宋体" w:hAnsi="宋体" w:cs="宋体"/>
                <w:kern w:val="0"/>
                <w:sz w:val="20"/>
                <w:szCs w:val="20"/>
              </w:rPr>
            </w:pPr>
          </w:p>
        </w:tc>
        <w:tc>
          <w:tcPr>
            <w:tcW w:w="938" w:type="dxa"/>
            <w:tcBorders>
              <w:top w:val="single" w:color="auto" w:sz="6" w:space="0"/>
              <w:left w:val="single" w:color="auto" w:sz="12" w:space="0"/>
              <w:bottom w:val="single" w:color="auto" w:sz="6" w:space="0"/>
            </w:tcBorders>
            <w:shd w:val="clear" w:color="auto" w:fill="auto"/>
            <w:vAlign w:val="center"/>
          </w:tcPr>
          <w:p>
            <w:pPr>
              <w:widowControl/>
              <w:jc w:val="center"/>
              <w:rPr>
                <w:rFonts w:ascii="宋体" w:hAnsi="宋体" w:cs="宋体"/>
                <w:kern w:val="0"/>
                <w:sz w:val="20"/>
                <w:szCs w:val="20"/>
              </w:rPr>
            </w:pPr>
          </w:p>
        </w:tc>
        <w:tc>
          <w:tcPr>
            <w:tcW w:w="939"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2"/>
                <w:szCs w:val="22"/>
              </w:rPr>
            </w:pPr>
          </w:p>
        </w:tc>
        <w:tc>
          <w:tcPr>
            <w:tcW w:w="939" w:type="dxa"/>
            <w:tcBorders>
              <w:top w:val="single" w:color="auto" w:sz="6" w:space="0"/>
              <w:bottom w:val="single" w:color="auto" w:sz="6" w:space="0"/>
              <w:right w:val="single" w:color="auto" w:sz="12" w:space="0"/>
            </w:tcBorders>
            <w:shd w:val="clear" w:color="auto" w:fill="auto"/>
            <w:vAlign w:val="center"/>
          </w:tcPr>
          <w:p>
            <w:pPr>
              <w:widowControl/>
              <w:jc w:val="center"/>
              <w:rPr>
                <w:rFonts w:ascii="宋体" w:hAnsi="宋体" w:cs="宋体"/>
                <w:kern w:val="0"/>
                <w:sz w:val="22"/>
                <w:szCs w:val="22"/>
              </w:rPr>
            </w:pPr>
          </w:p>
        </w:tc>
        <w:tc>
          <w:tcPr>
            <w:tcW w:w="830" w:type="dxa"/>
            <w:tcBorders>
              <w:left w:val="single" w:color="auto" w:sz="1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shd w:val="clear" w:color="auto" w:fill="auto"/>
            <w:vAlign w:val="center"/>
          </w:tcPr>
          <w:p>
            <w:pPr>
              <w:widowControl/>
              <w:jc w:val="center"/>
              <w:rPr>
                <w:rFonts w:ascii="宋体" w:hAnsi="宋体" w:cs="宋体"/>
                <w:kern w:val="0"/>
                <w:sz w:val="22"/>
                <w:szCs w:val="22"/>
              </w:rPr>
            </w:pPr>
          </w:p>
        </w:tc>
        <w:tc>
          <w:tcPr>
            <w:tcW w:w="830" w:type="dxa"/>
            <w:shd w:val="clear" w:color="auto" w:fill="auto"/>
            <w:vAlign w:val="center"/>
          </w:tcPr>
          <w:p>
            <w:pPr>
              <w:widowControl/>
              <w:jc w:val="center"/>
              <w:rPr>
                <w:rFonts w:ascii="宋体" w:hAnsi="宋体" w:cs="宋体"/>
                <w:kern w:val="0"/>
                <w:sz w:val="22"/>
                <w:szCs w:val="22"/>
              </w:rPr>
            </w:pPr>
          </w:p>
        </w:tc>
        <w:tc>
          <w:tcPr>
            <w:tcW w:w="997" w:type="dxa"/>
            <w:shd w:val="clear" w:color="auto" w:fill="auto"/>
            <w:vAlign w:val="center"/>
          </w:tcPr>
          <w:p>
            <w:pPr>
              <w:widowControl/>
              <w:jc w:val="center"/>
              <w:rPr>
                <w:rFonts w:ascii="宋体" w:hAnsi="宋体" w:cs="宋体"/>
                <w:kern w:val="0"/>
                <w:sz w:val="22"/>
                <w:szCs w:val="22"/>
              </w:rPr>
            </w:pPr>
          </w:p>
        </w:tc>
        <w:tc>
          <w:tcPr>
            <w:tcW w:w="939" w:type="dxa"/>
            <w:shd w:val="clear" w:color="auto" w:fill="auto"/>
            <w:vAlign w:val="center"/>
          </w:tcPr>
          <w:p>
            <w:pPr>
              <w:widowControl/>
              <w:jc w:val="center"/>
              <w:rPr>
                <w:rFonts w:ascii="宋体" w:hAnsi="宋体" w:cs="宋体"/>
                <w:kern w:val="0"/>
                <w:sz w:val="22"/>
                <w:szCs w:val="22"/>
              </w:rPr>
            </w:pPr>
          </w:p>
        </w:tc>
        <w:tc>
          <w:tcPr>
            <w:tcW w:w="939" w:type="dxa"/>
            <w:shd w:val="clear" w:color="auto" w:fill="auto"/>
            <w:vAlign w:val="center"/>
          </w:tcPr>
          <w:p>
            <w:pPr>
              <w:widowControl/>
              <w:jc w:val="center"/>
              <w:rPr>
                <w:rFonts w:ascii="宋体" w:hAnsi="宋体" w:cs="宋体"/>
                <w:kern w:val="0"/>
                <w:sz w:val="22"/>
                <w:szCs w:val="22"/>
              </w:rPr>
            </w:pPr>
          </w:p>
        </w:tc>
        <w:tc>
          <w:tcPr>
            <w:tcW w:w="93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416"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    年</w:t>
            </w:r>
          </w:p>
        </w:tc>
        <w:tc>
          <w:tcPr>
            <w:tcW w:w="733" w:type="dxa"/>
            <w:tcBorders>
              <w:bottom w:val="single" w:color="auto" w:sz="12" w:space="0"/>
              <w:right w:val="single" w:color="auto" w:sz="12" w:space="0"/>
            </w:tcBorders>
            <w:shd w:val="clear" w:color="auto" w:fill="auto"/>
            <w:vAlign w:val="center"/>
          </w:tcPr>
          <w:p>
            <w:pPr>
              <w:widowControl/>
              <w:jc w:val="center"/>
              <w:rPr>
                <w:rFonts w:ascii="宋体" w:hAnsi="宋体" w:cs="宋体"/>
                <w:kern w:val="0"/>
                <w:sz w:val="20"/>
                <w:szCs w:val="20"/>
              </w:rPr>
            </w:pPr>
          </w:p>
        </w:tc>
        <w:tc>
          <w:tcPr>
            <w:tcW w:w="938" w:type="dxa"/>
            <w:tcBorders>
              <w:top w:val="single" w:color="auto" w:sz="6" w:space="0"/>
              <w:left w:val="single" w:color="auto" w:sz="12" w:space="0"/>
              <w:bottom w:val="single" w:color="auto" w:sz="12" w:space="0"/>
            </w:tcBorders>
            <w:shd w:val="clear" w:color="auto" w:fill="auto"/>
            <w:vAlign w:val="center"/>
          </w:tcPr>
          <w:p>
            <w:pPr>
              <w:widowControl/>
              <w:jc w:val="center"/>
              <w:rPr>
                <w:rFonts w:ascii="宋体" w:hAnsi="宋体" w:cs="宋体"/>
                <w:kern w:val="0"/>
                <w:sz w:val="20"/>
                <w:szCs w:val="20"/>
              </w:rPr>
            </w:pPr>
          </w:p>
        </w:tc>
        <w:tc>
          <w:tcPr>
            <w:tcW w:w="939" w:type="dxa"/>
            <w:tcBorders>
              <w:top w:val="single" w:color="auto" w:sz="6" w:space="0"/>
              <w:bottom w:val="single" w:color="auto" w:sz="12" w:space="0"/>
            </w:tcBorders>
            <w:shd w:val="clear" w:color="auto" w:fill="auto"/>
            <w:vAlign w:val="center"/>
          </w:tcPr>
          <w:p>
            <w:pPr>
              <w:widowControl/>
              <w:jc w:val="center"/>
              <w:rPr>
                <w:rFonts w:ascii="宋体" w:hAnsi="宋体" w:cs="宋体"/>
                <w:kern w:val="0"/>
                <w:sz w:val="22"/>
                <w:szCs w:val="22"/>
              </w:rPr>
            </w:pPr>
          </w:p>
        </w:tc>
        <w:tc>
          <w:tcPr>
            <w:tcW w:w="939" w:type="dxa"/>
            <w:tcBorders>
              <w:top w:val="single" w:color="auto" w:sz="6" w:space="0"/>
              <w:bottom w:val="single" w:color="auto" w:sz="12" w:space="0"/>
              <w:right w:val="single" w:color="auto" w:sz="12" w:space="0"/>
            </w:tcBorders>
            <w:shd w:val="clear" w:color="auto" w:fill="auto"/>
            <w:vAlign w:val="center"/>
          </w:tcPr>
          <w:p>
            <w:pPr>
              <w:widowControl/>
              <w:jc w:val="center"/>
              <w:rPr>
                <w:rFonts w:ascii="宋体" w:hAnsi="宋体" w:cs="宋体"/>
                <w:kern w:val="0"/>
                <w:sz w:val="22"/>
                <w:szCs w:val="22"/>
              </w:rPr>
            </w:pPr>
          </w:p>
        </w:tc>
        <w:tc>
          <w:tcPr>
            <w:tcW w:w="830" w:type="dxa"/>
            <w:tcBorders>
              <w:left w:val="single" w:color="auto" w:sz="12" w:space="0"/>
              <w:bottom w:val="single" w:color="auto" w:sz="1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tcBorders>
              <w:bottom w:val="single" w:color="auto" w:sz="1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tcBorders>
              <w:bottom w:val="single" w:color="auto" w:sz="1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tcBorders>
              <w:bottom w:val="single" w:color="auto" w:sz="1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tcBorders>
              <w:bottom w:val="single" w:color="auto" w:sz="1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tcBorders>
              <w:bottom w:val="single" w:color="auto" w:sz="12" w:space="0"/>
            </w:tcBorders>
            <w:shd w:val="clear" w:color="auto" w:fill="auto"/>
            <w:vAlign w:val="center"/>
          </w:tcPr>
          <w:p>
            <w:pPr>
              <w:widowControl/>
              <w:jc w:val="center"/>
              <w:rPr>
                <w:rFonts w:ascii="宋体" w:hAnsi="宋体" w:cs="宋体"/>
                <w:kern w:val="0"/>
                <w:sz w:val="22"/>
                <w:szCs w:val="22"/>
              </w:rPr>
            </w:pPr>
          </w:p>
        </w:tc>
        <w:tc>
          <w:tcPr>
            <w:tcW w:w="997" w:type="dxa"/>
            <w:tcBorders>
              <w:bottom w:val="single" w:color="auto" w:sz="12" w:space="0"/>
            </w:tcBorders>
            <w:shd w:val="clear" w:color="auto" w:fill="auto"/>
            <w:vAlign w:val="center"/>
          </w:tcPr>
          <w:p>
            <w:pPr>
              <w:widowControl/>
              <w:jc w:val="center"/>
              <w:rPr>
                <w:rFonts w:ascii="宋体" w:hAnsi="宋体" w:cs="宋体"/>
                <w:kern w:val="0"/>
                <w:sz w:val="22"/>
                <w:szCs w:val="22"/>
              </w:rPr>
            </w:pPr>
          </w:p>
        </w:tc>
        <w:tc>
          <w:tcPr>
            <w:tcW w:w="939" w:type="dxa"/>
            <w:tcBorders>
              <w:bottom w:val="single" w:color="auto" w:sz="12" w:space="0"/>
            </w:tcBorders>
            <w:shd w:val="clear" w:color="auto" w:fill="auto"/>
            <w:vAlign w:val="center"/>
          </w:tcPr>
          <w:p>
            <w:pPr>
              <w:widowControl/>
              <w:jc w:val="center"/>
              <w:rPr>
                <w:rFonts w:ascii="宋体" w:hAnsi="宋体" w:cs="宋体"/>
                <w:kern w:val="0"/>
                <w:sz w:val="22"/>
                <w:szCs w:val="22"/>
              </w:rPr>
            </w:pPr>
          </w:p>
        </w:tc>
        <w:tc>
          <w:tcPr>
            <w:tcW w:w="939" w:type="dxa"/>
            <w:tcBorders>
              <w:bottom w:val="single" w:color="auto" w:sz="12" w:space="0"/>
            </w:tcBorders>
            <w:shd w:val="clear" w:color="auto" w:fill="auto"/>
            <w:vAlign w:val="center"/>
          </w:tcPr>
          <w:p>
            <w:pPr>
              <w:widowControl/>
              <w:jc w:val="center"/>
              <w:rPr>
                <w:rFonts w:ascii="宋体" w:hAnsi="宋体" w:cs="宋体"/>
                <w:kern w:val="0"/>
                <w:sz w:val="22"/>
                <w:szCs w:val="22"/>
              </w:rPr>
            </w:pPr>
          </w:p>
        </w:tc>
        <w:tc>
          <w:tcPr>
            <w:tcW w:w="939" w:type="dxa"/>
            <w:tcBorders>
              <w:bottom w:val="single" w:color="auto" w:sz="12" w:space="0"/>
            </w:tcBorders>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tcBorders>
              <w:top w:val="single" w:color="auto" w:sz="12" w:space="0"/>
              <w:bottom w:val="single" w:color="auto" w:sz="12" w:space="0"/>
              <w:right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416" w:type="dxa"/>
            <w:tcBorders>
              <w:top w:val="single" w:color="auto" w:sz="12" w:space="0"/>
              <w:left w:val="single" w:color="auto" w:sz="6" w:space="0"/>
              <w:bottom w:val="single" w:color="auto" w:sz="12" w:space="0"/>
              <w:right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合计（1+2+</w:t>
            </w:r>
            <w:r>
              <w:rPr>
                <w:rFonts w:ascii="宋体" w:hAnsi="宋体" w:cs="宋体"/>
                <w:kern w:val="0"/>
                <w:sz w:val="20"/>
                <w:szCs w:val="20"/>
              </w:rPr>
              <w:t>…</w:t>
            </w:r>
            <w:r>
              <w:rPr>
                <w:rFonts w:hint="eastAsia" w:ascii="宋体" w:hAnsi="宋体" w:cs="宋体"/>
                <w:kern w:val="0"/>
                <w:sz w:val="20"/>
                <w:szCs w:val="20"/>
              </w:rPr>
              <w:t>+6）</w:t>
            </w:r>
          </w:p>
        </w:tc>
        <w:tc>
          <w:tcPr>
            <w:tcW w:w="733" w:type="dxa"/>
            <w:tcBorders>
              <w:top w:val="single" w:color="auto" w:sz="12" w:space="0"/>
              <w:left w:val="single" w:color="auto" w:sz="6" w:space="0"/>
              <w:bottom w:val="single" w:color="auto" w:sz="12" w:space="0"/>
              <w:right w:val="single" w:color="auto" w:sz="1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938" w:type="dxa"/>
            <w:tcBorders>
              <w:top w:val="single" w:color="auto" w:sz="12" w:space="0"/>
              <w:left w:val="single" w:color="auto" w:sz="12" w:space="0"/>
              <w:bottom w:val="single" w:color="auto" w:sz="12" w:space="0"/>
              <w:right w:val="single" w:color="auto" w:sz="6" w:space="0"/>
            </w:tcBorders>
            <w:shd w:val="clear" w:color="auto" w:fill="auto"/>
            <w:vAlign w:val="center"/>
          </w:tcPr>
          <w:p>
            <w:pPr>
              <w:widowControl/>
              <w:jc w:val="center"/>
              <w:rPr>
                <w:rFonts w:ascii="宋体" w:hAnsi="宋体" w:cs="宋体"/>
                <w:kern w:val="0"/>
                <w:sz w:val="18"/>
                <w:szCs w:val="18"/>
              </w:rPr>
            </w:pPr>
          </w:p>
        </w:tc>
        <w:tc>
          <w:tcPr>
            <w:tcW w:w="939" w:type="dxa"/>
            <w:tcBorders>
              <w:top w:val="single" w:color="auto" w:sz="12" w:space="0"/>
              <w:left w:val="single" w:color="auto" w:sz="6" w:space="0"/>
              <w:bottom w:val="single" w:color="auto" w:sz="12" w:space="0"/>
              <w:right w:val="single" w:color="auto" w:sz="6" w:space="0"/>
            </w:tcBorders>
            <w:shd w:val="clear" w:color="auto" w:fill="auto"/>
            <w:vAlign w:val="center"/>
          </w:tcPr>
          <w:p>
            <w:pPr>
              <w:widowControl/>
              <w:jc w:val="center"/>
              <w:rPr>
                <w:rFonts w:ascii="宋体" w:hAnsi="宋体" w:cs="宋体"/>
                <w:kern w:val="0"/>
                <w:sz w:val="20"/>
                <w:szCs w:val="20"/>
              </w:rPr>
            </w:pPr>
          </w:p>
        </w:tc>
        <w:tc>
          <w:tcPr>
            <w:tcW w:w="939" w:type="dxa"/>
            <w:tcBorders>
              <w:top w:val="single" w:color="auto" w:sz="12" w:space="0"/>
              <w:left w:val="single" w:color="auto" w:sz="6" w:space="0"/>
              <w:bottom w:val="single" w:color="auto" w:sz="12" w:space="0"/>
              <w:right w:val="single" w:color="auto" w:sz="12" w:space="0"/>
            </w:tcBorders>
            <w:shd w:val="clear" w:color="auto" w:fill="auto"/>
            <w:vAlign w:val="center"/>
          </w:tcPr>
          <w:p>
            <w:pPr>
              <w:jc w:val="center"/>
              <w:rPr>
                <w:rFonts w:ascii="宋体" w:hAnsi="宋体" w:cs="宋体"/>
                <w:sz w:val="20"/>
                <w:szCs w:val="20"/>
              </w:rPr>
            </w:pPr>
          </w:p>
        </w:tc>
        <w:tc>
          <w:tcPr>
            <w:tcW w:w="830" w:type="dxa"/>
            <w:tcBorders>
              <w:top w:val="single" w:color="auto" w:sz="12" w:space="0"/>
              <w:left w:val="single" w:color="auto" w:sz="12" w:space="0"/>
              <w:bottom w:val="single" w:color="auto" w:sz="12" w:space="0"/>
              <w:right w:val="single" w:color="auto" w:sz="6"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tcBorders>
              <w:top w:val="single" w:color="auto" w:sz="12" w:space="0"/>
              <w:left w:val="single" w:color="auto" w:sz="6" w:space="0"/>
              <w:bottom w:val="single" w:color="auto" w:sz="12" w:space="0"/>
              <w:right w:val="single" w:color="auto" w:sz="6"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tcBorders>
              <w:top w:val="single" w:color="auto" w:sz="12" w:space="0"/>
              <w:left w:val="single" w:color="auto" w:sz="6" w:space="0"/>
              <w:bottom w:val="single" w:color="auto" w:sz="12" w:space="0"/>
              <w:right w:val="single" w:color="auto" w:sz="6"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tcBorders>
              <w:top w:val="single" w:color="auto" w:sz="12" w:space="0"/>
              <w:left w:val="single" w:color="auto" w:sz="6" w:space="0"/>
              <w:bottom w:val="single" w:color="auto" w:sz="12" w:space="0"/>
              <w:right w:val="single" w:color="auto" w:sz="6"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tcBorders>
              <w:top w:val="single" w:color="auto" w:sz="12" w:space="0"/>
              <w:left w:val="single" w:color="auto" w:sz="6" w:space="0"/>
              <w:bottom w:val="single" w:color="auto" w:sz="12" w:space="0"/>
              <w:right w:val="single" w:color="auto" w:sz="6"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30" w:type="dxa"/>
            <w:tcBorders>
              <w:top w:val="single" w:color="auto" w:sz="12" w:space="0"/>
              <w:left w:val="single" w:color="auto" w:sz="6" w:space="0"/>
              <w:bottom w:val="single" w:color="auto" w:sz="12" w:space="0"/>
              <w:right w:val="single" w:color="auto" w:sz="6" w:space="0"/>
            </w:tcBorders>
            <w:shd w:val="clear" w:color="auto" w:fill="auto"/>
            <w:vAlign w:val="center"/>
          </w:tcPr>
          <w:p>
            <w:pPr>
              <w:widowControl/>
              <w:jc w:val="center"/>
              <w:rPr>
                <w:rFonts w:ascii="宋体" w:hAnsi="宋体" w:cs="宋体"/>
                <w:kern w:val="0"/>
                <w:sz w:val="18"/>
                <w:szCs w:val="18"/>
              </w:rPr>
            </w:pPr>
          </w:p>
        </w:tc>
        <w:tc>
          <w:tcPr>
            <w:tcW w:w="997" w:type="dxa"/>
            <w:tcBorders>
              <w:top w:val="single" w:color="auto" w:sz="12" w:space="0"/>
              <w:left w:val="single" w:color="auto" w:sz="6" w:space="0"/>
              <w:bottom w:val="single" w:color="auto" w:sz="12" w:space="0"/>
              <w:right w:val="single" w:color="auto" w:sz="6" w:space="0"/>
            </w:tcBorders>
            <w:shd w:val="clear" w:color="auto" w:fill="auto"/>
            <w:vAlign w:val="center"/>
          </w:tcPr>
          <w:p>
            <w:pPr>
              <w:widowControl/>
              <w:jc w:val="center"/>
              <w:rPr>
                <w:rFonts w:ascii="宋体" w:hAnsi="宋体" w:cs="宋体"/>
                <w:kern w:val="0"/>
                <w:sz w:val="20"/>
                <w:szCs w:val="20"/>
              </w:rPr>
            </w:pPr>
          </w:p>
        </w:tc>
        <w:tc>
          <w:tcPr>
            <w:tcW w:w="939" w:type="dxa"/>
            <w:tcBorders>
              <w:top w:val="single" w:color="auto" w:sz="12" w:space="0"/>
              <w:left w:val="single" w:color="auto" w:sz="6" w:space="0"/>
              <w:bottom w:val="single" w:color="auto" w:sz="12" w:space="0"/>
              <w:right w:val="single" w:color="auto" w:sz="6" w:space="0"/>
            </w:tcBorders>
            <w:shd w:val="clear" w:color="auto" w:fill="auto"/>
            <w:vAlign w:val="center"/>
          </w:tcPr>
          <w:p>
            <w:pPr>
              <w:widowControl/>
              <w:jc w:val="center"/>
              <w:rPr>
                <w:rFonts w:ascii="宋体" w:hAnsi="宋体" w:cs="宋体"/>
                <w:kern w:val="0"/>
                <w:sz w:val="18"/>
                <w:szCs w:val="18"/>
              </w:rPr>
            </w:pPr>
          </w:p>
        </w:tc>
        <w:tc>
          <w:tcPr>
            <w:tcW w:w="939" w:type="dxa"/>
            <w:tcBorders>
              <w:top w:val="single" w:color="auto" w:sz="12" w:space="0"/>
              <w:left w:val="single" w:color="auto" w:sz="6" w:space="0"/>
              <w:bottom w:val="single" w:color="auto" w:sz="12" w:space="0"/>
              <w:right w:val="single" w:color="auto" w:sz="6" w:space="0"/>
            </w:tcBorders>
            <w:shd w:val="clear" w:color="auto" w:fill="auto"/>
            <w:vAlign w:val="center"/>
          </w:tcPr>
          <w:p>
            <w:pPr>
              <w:widowControl/>
              <w:jc w:val="center"/>
              <w:rPr>
                <w:rFonts w:ascii="宋体" w:hAnsi="宋体" w:cs="宋体"/>
                <w:kern w:val="0"/>
                <w:sz w:val="18"/>
                <w:szCs w:val="18"/>
              </w:rPr>
            </w:pPr>
          </w:p>
        </w:tc>
        <w:tc>
          <w:tcPr>
            <w:tcW w:w="939" w:type="dxa"/>
            <w:tcBorders>
              <w:top w:val="single" w:color="auto" w:sz="12" w:space="0"/>
              <w:left w:val="single" w:color="auto" w:sz="6" w:space="0"/>
              <w:bottom w:val="single" w:color="auto" w:sz="12" w:space="0"/>
            </w:tcBorders>
            <w:shd w:val="clear" w:color="auto" w:fill="auto"/>
            <w:vAlign w:val="center"/>
          </w:tcPr>
          <w:p>
            <w:pPr>
              <w:widowControl/>
              <w:jc w:val="center"/>
              <w:rPr>
                <w:rFonts w:ascii="宋体" w:hAnsi="宋体" w:cs="宋体"/>
                <w:kern w:val="0"/>
                <w:sz w:val="20"/>
                <w:szCs w:val="20"/>
              </w:rPr>
            </w:pPr>
          </w:p>
        </w:tc>
      </w:tr>
    </w:tbl>
    <w:p>
      <w:pPr>
        <w:pStyle w:val="9"/>
        <w:ind w:firstLine="0" w:firstLineChars="0"/>
        <w:rPr>
          <w:color w:val="000000"/>
        </w:rPr>
        <w:sectPr>
          <w:pgSz w:w="16838" w:h="11906" w:orient="landscape"/>
          <w:pgMar w:top="1418" w:right="1985" w:bottom="1418" w:left="1928" w:header="851" w:footer="992" w:gutter="113"/>
          <w:cols w:space="425" w:num="1"/>
          <w:docGrid w:linePitch="312" w:charSpace="0"/>
        </w:sectPr>
      </w:pPr>
    </w:p>
    <w:p>
      <w:pPr>
        <w:pStyle w:val="8"/>
        <w:spacing w:before="240" w:after="360"/>
      </w:pPr>
      <w:bookmarkStart w:id="51" w:name="_Toc499456578"/>
      <w:r>
        <w:rPr>
          <w:rFonts w:hint="eastAsia"/>
        </w:rPr>
        <w:t>A105040</w:t>
      </w:r>
      <w:r>
        <w:tab/>
      </w:r>
      <w:r>
        <w:rPr>
          <w:rFonts w:hint="eastAsia"/>
        </w:rPr>
        <w:t>《专项用途财政性资金纳税调整明细表》填报说明</w:t>
      </w:r>
      <w:bookmarkEnd w:id="51"/>
    </w:p>
    <w:p>
      <w:pPr>
        <w:pStyle w:val="9"/>
        <w:rPr>
          <w:color w:val="000000"/>
        </w:rPr>
      </w:pPr>
      <w:r>
        <w:rPr>
          <w:rFonts w:hint="eastAsia"/>
          <w:color w:val="000000"/>
        </w:rPr>
        <w:t>本表适用于发生符合不征税收入条件的专项用途财政性资金纳税调整项目的纳税人填报。纳税人根据税法、《财政部 国家税务总局关于专项用途财政性资金企业所得税处理问题的通知》（财税〔2011〕70号）等相关规定，以及国家统一企业会计制度，填报纳税人专项用途财政性资金会计处理、税收规定，以及纳税调整情况。本表对不征税收入用于费用化的支出进行调整，资本化支出通过《资产折旧、摊销及纳税调整明细表》（A105080）进行纳税调整。</w:t>
      </w:r>
    </w:p>
    <w:p>
      <w:pPr>
        <w:pStyle w:val="11"/>
        <w:ind w:firstLine="482"/>
      </w:pPr>
      <w:r>
        <w:rPr>
          <w:rFonts w:hint="eastAsia"/>
        </w:rPr>
        <w:t>一、有关项目填报说明</w:t>
      </w:r>
    </w:p>
    <w:p>
      <w:pPr>
        <w:pStyle w:val="9"/>
        <w:rPr>
          <w:color w:val="000000"/>
        </w:rPr>
      </w:pPr>
      <w:r>
        <w:rPr>
          <w:rFonts w:hint="eastAsia"/>
          <w:color w:val="000000"/>
        </w:rPr>
        <w:t>1.第1列“取得年度”：填报取得专项用途财政性资金的公历年度。第5行至第1行依次从6行往前倒推，第6行为申报年度。</w:t>
      </w:r>
    </w:p>
    <w:p>
      <w:pPr>
        <w:pStyle w:val="9"/>
        <w:rPr>
          <w:color w:val="000000"/>
        </w:rPr>
      </w:pPr>
      <w:r>
        <w:rPr>
          <w:rFonts w:hint="eastAsia"/>
          <w:color w:val="000000"/>
        </w:rPr>
        <w:t>2.第2列“财政性资金”：填报纳税人相应年度实际取得的财政性资金金额。</w:t>
      </w:r>
    </w:p>
    <w:p>
      <w:pPr>
        <w:pStyle w:val="9"/>
        <w:rPr>
          <w:color w:val="000000"/>
        </w:rPr>
      </w:pPr>
      <w:r>
        <w:rPr>
          <w:rFonts w:hint="eastAsia"/>
          <w:color w:val="000000"/>
        </w:rPr>
        <w:t>3.第3列“其中：符合不征税收入条件的财政性资金”：填报纳税人相应年度实际取得的符合不征税收入条件且已作不征税收入处理的财政性资金金额。</w:t>
      </w:r>
    </w:p>
    <w:p>
      <w:pPr>
        <w:pStyle w:val="9"/>
        <w:rPr>
          <w:color w:val="000000"/>
        </w:rPr>
      </w:pPr>
      <w:r>
        <w:rPr>
          <w:rFonts w:hint="eastAsia"/>
          <w:color w:val="000000"/>
        </w:rPr>
        <w:t>4.第4列“其中：计入本年损益的金额”：填报第3列“其中：符合不征税收入条件的财政性资金”中，会计处理时计入本年（申报年度）损益的金额。本列第7行金额为《纳税调整项目明细表》（A105000）第9行“其中：专项用途财政性资金”的第4列“调减金额”。</w:t>
      </w:r>
    </w:p>
    <w:p>
      <w:pPr>
        <w:pStyle w:val="9"/>
        <w:rPr>
          <w:color w:val="000000"/>
        </w:rPr>
      </w:pPr>
      <w:r>
        <w:rPr>
          <w:rFonts w:hint="eastAsia"/>
          <w:color w:val="000000"/>
        </w:rPr>
        <w:t>5.第5列至第9列“以前年度支出情况”：填报纳税人作为不征税收入处理的符合条件的财政性资金，在申报年度的以前的5个纳税年度发生的支出金额。前一年度，填报本年的上一纳税年度，以此类推。</w:t>
      </w:r>
    </w:p>
    <w:p>
      <w:pPr>
        <w:pStyle w:val="9"/>
        <w:rPr>
          <w:color w:val="000000"/>
        </w:rPr>
      </w:pPr>
      <w:r>
        <w:rPr>
          <w:rFonts w:hint="eastAsia"/>
          <w:color w:val="000000"/>
        </w:rPr>
        <w:t>6.第10列“支出金额”：填报纳税人历年作为不征税收入处理的符合条件的财政性资金，在本年（申报年度）用于支出的金额。</w:t>
      </w:r>
    </w:p>
    <w:p>
      <w:pPr>
        <w:pStyle w:val="9"/>
        <w:rPr>
          <w:color w:val="000000"/>
        </w:rPr>
      </w:pPr>
      <w:r>
        <w:rPr>
          <w:rFonts w:hint="eastAsia"/>
          <w:color w:val="000000"/>
        </w:rPr>
        <w:t>7.第11列“其中：费用化支出金额”：填报纳税人历年作为不征税收入处理的符合条件的财政性资金，在本年（申报年度）用于支出计入本年损益的费用金额，本列第7行金额为《纳税调整项目明细表》（A105000）第25行“其中：专项用途财政性资金用于支出所形成的费用”的第3列“调增金额”。</w:t>
      </w:r>
    </w:p>
    <w:p>
      <w:pPr>
        <w:pStyle w:val="9"/>
        <w:rPr>
          <w:color w:val="000000"/>
        </w:rPr>
      </w:pPr>
      <w:r>
        <w:rPr>
          <w:rFonts w:hint="eastAsia"/>
          <w:color w:val="000000"/>
        </w:rPr>
        <w:t>8.第12列“结余金额”：填报纳税人历年作为不征税收入处理的符合条件的财政性资金，减除历年累计支出（包括费用化支出和资本化支出）后尚未使用的不征税收入余额。</w:t>
      </w:r>
    </w:p>
    <w:p>
      <w:pPr>
        <w:pStyle w:val="9"/>
        <w:rPr>
          <w:color w:val="000000"/>
        </w:rPr>
      </w:pPr>
      <w:r>
        <w:rPr>
          <w:rFonts w:hint="eastAsia"/>
          <w:color w:val="000000"/>
        </w:rPr>
        <w:t>9.第13列“其中：上缴财政金额”：填报第12列“结余金额”中向财政部门或其他拨付资金的政府部门缴回的金额。</w:t>
      </w:r>
    </w:p>
    <w:p>
      <w:pPr>
        <w:pStyle w:val="9"/>
        <w:rPr>
          <w:color w:val="000000"/>
        </w:rPr>
      </w:pPr>
      <w:r>
        <w:rPr>
          <w:rFonts w:hint="eastAsia"/>
          <w:color w:val="000000"/>
        </w:rPr>
        <w:t>10.第14列“应计入本年应税收入金额”：填报企业以前年度取得财政性资金且已作为不征税收入处理后，在5年（60个月）内未发生支出且未缴回财政部门或其他拨付资金的政府部门，应计入本年应税收入的金额。本列第7行金额为《纳税调整项目明细表》（A105000）第9行“其中：专项用途财政性资金”的第3列“调增金额”。</w:t>
      </w:r>
    </w:p>
    <w:p>
      <w:pPr>
        <w:pStyle w:val="11"/>
        <w:ind w:firstLine="482"/>
      </w:pPr>
      <w:r>
        <w:rPr>
          <w:rFonts w:hint="eastAsia"/>
        </w:rPr>
        <w:t>二、表内、表间关系</w:t>
      </w:r>
    </w:p>
    <w:p>
      <w:pPr>
        <w:pStyle w:val="12"/>
        <w:rPr>
          <w:color w:val="000000"/>
        </w:rPr>
      </w:pPr>
      <w:r>
        <w:rPr>
          <w:rFonts w:hint="eastAsia"/>
          <w:color w:val="000000"/>
        </w:rPr>
        <w:t>（一）表内关系</w:t>
      </w:r>
    </w:p>
    <w:p>
      <w:pPr>
        <w:pStyle w:val="9"/>
        <w:rPr>
          <w:color w:val="000000"/>
        </w:rPr>
      </w:pPr>
      <w:r>
        <w:rPr>
          <w:rFonts w:hint="eastAsia"/>
          <w:color w:val="000000"/>
        </w:rPr>
        <w:t>1.第1行第12列＝第1行第3-5-6-7-8-9-10列。</w:t>
      </w:r>
    </w:p>
    <w:p>
      <w:pPr>
        <w:pStyle w:val="9"/>
        <w:rPr>
          <w:color w:val="000000"/>
        </w:rPr>
      </w:pPr>
      <w:r>
        <w:rPr>
          <w:rFonts w:hint="eastAsia"/>
          <w:color w:val="000000"/>
        </w:rPr>
        <w:t>2.第2行第12列＝第2行第3-6-7-8-9-10列。</w:t>
      </w:r>
    </w:p>
    <w:p>
      <w:pPr>
        <w:pStyle w:val="9"/>
        <w:rPr>
          <w:color w:val="000000"/>
        </w:rPr>
      </w:pPr>
      <w:r>
        <w:rPr>
          <w:rFonts w:hint="eastAsia"/>
          <w:color w:val="000000"/>
        </w:rPr>
        <w:t>3.第3行第12列＝第3行第3-7-8-9-10列。</w:t>
      </w:r>
    </w:p>
    <w:p>
      <w:pPr>
        <w:pStyle w:val="9"/>
        <w:rPr>
          <w:color w:val="000000"/>
        </w:rPr>
      </w:pPr>
      <w:r>
        <w:rPr>
          <w:rFonts w:hint="eastAsia"/>
          <w:color w:val="000000"/>
        </w:rPr>
        <w:t>4.第4行第12列＝第4行第3-8-9-10列。</w:t>
      </w:r>
    </w:p>
    <w:p>
      <w:pPr>
        <w:pStyle w:val="9"/>
        <w:rPr>
          <w:color w:val="000000"/>
        </w:rPr>
      </w:pPr>
      <w:r>
        <w:rPr>
          <w:rFonts w:hint="eastAsia"/>
          <w:color w:val="000000"/>
        </w:rPr>
        <w:t>5.第5行第12列＝第5行第3-9-10列。</w:t>
      </w:r>
    </w:p>
    <w:p>
      <w:pPr>
        <w:pStyle w:val="9"/>
        <w:rPr>
          <w:color w:val="000000"/>
        </w:rPr>
      </w:pPr>
      <w:r>
        <w:rPr>
          <w:rFonts w:hint="eastAsia"/>
          <w:color w:val="000000"/>
        </w:rPr>
        <w:t>6.第6行第12列＝第6行第3-10列。</w:t>
      </w:r>
    </w:p>
    <w:p>
      <w:pPr>
        <w:pStyle w:val="9"/>
        <w:rPr>
          <w:color w:val="000000"/>
        </w:rPr>
      </w:pPr>
      <w:r>
        <w:rPr>
          <w:rFonts w:hint="eastAsia"/>
          <w:color w:val="000000"/>
        </w:rPr>
        <w:t>7.第7行＝第1+2+3+4+5+6行。</w:t>
      </w:r>
    </w:p>
    <w:p>
      <w:pPr>
        <w:pStyle w:val="12"/>
      </w:pPr>
      <w:r>
        <w:rPr>
          <w:rFonts w:hint="eastAsia"/>
        </w:rPr>
        <w:t>（二）表间关系</w:t>
      </w:r>
    </w:p>
    <w:p>
      <w:pPr>
        <w:pStyle w:val="9"/>
        <w:rPr>
          <w:color w:val="000000"/>
        </w:rPr>
      </w:pPr>
      <w:r>
        <w:rPr>
          <w:rFonts w:hint="eastAsia"/>
          <w:color w:val="000000"/>
        </w:rPr>
        <w:t>1.第7行第4列＝表A105000第9行第4列。</w:t>
      </w:r>
    </w:p>
    <w:p>
      <w:pPr>
        <w:pStyle w:val="9"/>
        <w:rPr>
          <w:color w:val="000000"/>
        </w:rPr>
      </w:pPr>
      <w:r>
        <w:rPr>
          <w:rFonts w:hint="eastAsia"/>
          <w:color w:val="000000"/>
        </w:rPr>
        <w:t>2.第7行第11列＝表A105000第25行第3列。</w:t>
      </w:r>
    </w:p>
    <w:p>
      <w:pPr>
        <w:pStyle w:val="9"/>
        <w:rPr>
          <w:color w:val="000000"/>
        </w:rPr>
        <w:sectPr>
          <w:pgSz w:w="11906" w:h="16838"/>
          <w:pgMar w:top="1985" w:right="1418" w:bottom="1928" w:left="1418" w:header="851" w:footer="992" w:gutter="113"/>
          <w:cols w:space="425" w:num="1"/>
          <w:titlePg/>
          <w:docGrid w:linePitch="312" w:charSpace="0"/>
        </w:sectPr>
      </w:pPr>
      <w:r>
        <w:rPr>
          <w:rFonts w:hint="eastAsia"/>
          <w:color w:val="000000"/>
        </w:rPr>
        <w:t>3.第7行第14列＝表A105000第9行第3列。</w:t>
      </w:r>
    </w:p>
    <w:p>
      <w:pPr>
        <w:pStyle w:val="13"/>
      </w:pPr>
      <w:bookmarkStart w:id="52" w:name="_Toc499456579"/>
      <w:r>
        <w:rPr>
          <w:rFonts w:hint="eastAsia"/>
        </w:rPr>
        <w:t>A105050</w:t>
      </w:r>
      <w:r>
        <w:tab/>
      </w:r>
      <w:r>
        <w:rPr>
          <w:rFonts w:hint="eastAsia"/>
        </w:rPr>
        <w:t>职工薪酬支出及纳税调整明细表</w:t>
      </w:r>
      <w:bookmarkEnd w:id="52"/>
    </w:p>
    <w:tbl>
      <w:tblPr>
        <w:tblStyle w:val="7"/>
        <w:tblW w:w="1332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4732"/>
        <w:gridCol w:w="1039"/>
        <w:gridCol w:w="945"/>
        <w:gridCol w:w="1111"/>
        <w:gridCol w:w="1467"/>
        <w:gridCol w:w="824"/>
        <w:gridCol w:w="1153"/>
        <w:gridCol w:w="14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vMerge w:val="restart"/>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行次</w:t>
            </w:r>
          </w:p>
        </w:tc>
        <w:tc>
          <w:tcPr>
            <w:tcW w:w="4732"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spacing w:val="500"/>
                <w:kern w:val="0"/>
                <w:sz w:val="20"/>
                <w:szCs w:val="20"/>
                <w:fitText w:val="1400" w:id="7"/>
              </w:rPr>
              <w:t>项</w:t>
            </w:r>
            <w:r>
              <w:rPr>
                <w:rFonts w:hint="eastAsia" w:ascii="宋体" w:hAnsi="宋体" w:cs="宋体"/>
                <w:kern w:val="0"/>
                <w:sz w:val="20"/>
                <w:szCs w:val="20"/>
                <w:fitText w:val="1400" w:id="7"/>
              </w:rPr>
              <w:t>目</w:t>
            </w:r>
          </w:p>
        </w:tc>
        <w:tc>
          <w:tcPr>
            <w:tcW w:w="103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账载金额</w:t>
            </w:r>
          </w:p>
        </w:tc>
        <w:tc>
          <w:tcPr>
            <w:tcW w:w="94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实际发生额</w:t>
            </w:r>
          </w:p>
        </w:tc>
        <w:tc>
          <w:tcPr>
            <w:tcW w:w="11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税收规定扣除率</w:t>
            </w:r>
          </w:p>
        </w:tc>
        <w:tc>
          <w:tcPr>
            <w:tcW w:w="146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以前年度累计结转扣除额</w:t>
            </w:r>
          </w:p>
        </w:tc>
        <w:tc>
          <w:tcPr>
            <w:tcW w:w="824"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税收金额</w:t>
            </w:r>
          </w:p>
        </w:tc>
        <w:tc>
          <w:tcPr>
            <w:tcW w:w="1153"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纳税调整金额</w:t>
            </w: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累计结转以后年度扣除额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vMerge w:val="continue"/>
            <w:shd w:val="clear" w:color="auto" w:fill="auto"/>
            <w:vAlign w:val="center"/>
          </w:tcPr>
          <w:p>
            <w:pPr>
              <w:widowControl/>
              <w:jc w:val="left"/>
              <w:rPr>
                <w:rFonts w:ascii="宋体" w:hAnsi="宋体" w:cs="宋体"/>
                <w:kern w:val="0"/>
                <w:sz w:val="20"/>
                <w:szCs w:val="20"/>
              </w:rPr>
            </w:pPr>
          </w:p>
        </w:tc>
        <w:tc>
          <w:tcPr>
            <w:tcW w:w="4732" w:type="dxa"/>
            <w:vMerge w:val="continue"/>
            <w:shd w:val="clear" w:color="auto" w:fill="auto"/>
            <w:vAlign w:val="center"/>
          </w:tcPr>
          <w:p>
            <w:pPr>
              <w:widowControl/>
              <w:jc w:val="left"/>
              <w:rPr>
                <w:rFonts w:ascii="宋体" w:hAnsi="宋体" w:cs="宋体"/>
                <w:kern w:val="0"/>
                <w:sz w:val="20"/>
                <w:szCs w:val="20"/>
              </w:rPr>
            </w:pPr>
          </w:p>
        </w:tc>
        <w:tc>
          <w:tcPr>
            <w:tcW w:w="103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4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46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24"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53"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6（1-5）</w:t>
            </w: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7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一、工资薪金支出</w:t>
            </w:r>
          </w:p>
        </w:tc>
        <w:tc>
          <w:tcPr>
            <w:tcW w:w="1039" w:type="dxa"/>
            <w:shd w:val="clear" w:color="auto" w:fill="auto"/>
            <w:vAlign w:val="center"/>
          </w:tcPr>
          <w:p>
            <w:pPr>
              <w:widowControl/>
              <w:jc w:val="center"/>
              <w:rPr>
                <w:rFonts w:ascii="宋体" w:hAnsi="宋体" w:cs="宋体"/>
                <w:kern w:val="0"/>
                <w:sz w:val="20"/>
                <w:szCs w:val="20"/>
              </w:rPr>
            </w:pPr>
          </w:p>
        </w:tc>
        <w:tc>
          <w:tcPr>
            <w:tcW w:w="945" w:type="dxa"/>
            <w:shd w:val="clear" w:color="auto" w:fill="auto"/>
            <w:vAlign w:val="center"/>
          </w:tcPr>
          <w:p>
            <w:pPr>
              <w:widowControl/>
              <w:jc w:val="center"/>
              <w:rPr>
                <w:rFonts w:ascii="宋体" w:hAnsi="宋体" w:cs="宋体"/>
                <w:kern w:val="0"/>
                <w:sz w:val="20"/>
                <w:szCs w:val="20"/>
              </w:rPr>
            </w:pPr>
          </w:p>
        </w:tc>
        <w:tc>
          <w:tcPr>
            <w:tcW w:w="11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46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24" w:type="dxa"/>
            <w:shd w:val="clear" w:color="auto" w:fill="auto"/>
            <w:vAlign w:val="center"/>
          </w:tcPr>
          <w:p>
            <w:pPr>
              <w:widowControl/>
              <w:jc w:val="center"/>
              <w:rPr>
                <w:rFonts w:ascii="宋体" w:hAnsi="宋体" w:cs="宋体"/>
                <w:kern w:val="0"/>
                <w:sz w:val="20"/>
                <w:szCs w:val="20"/>
              </w:rPr>
            </w:pPr>
          </w:p>
        </w:tc>
        <w:tc>
          <w:tcPr>
            <w:tcW w:w="1153" w:type="dxa"/>
            <w:shd w:val="clear" w:color="auto" w:fill="auto"/>
            <w:vAlign w:val="center"/>
          </w:tcPr>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73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其中：股权激励</w:t>
            </w:r>
          </w:p>
        </w:tc>
        <w:tc>
          <w:tcPr>
            <w:tcW w:w="1039" w:type="dxa"/>
            <w:shd w:val="clear" w:color="auto" w:fill="auto"/>
            <w:vAlign w:val="center"/>
          </w:tcPr>
          <w:p>
            <w:pPr>
              <w:widowControl/>
              <w:jc w:val="center"/>
              <w:rPr>
                <w:rFonts w:ascii="宋体" w:hAnsi="宋体" w:cs="宋体"/>
                <w:kern w:val="0"/>
                <w:sz w:val="20"/>
                <w:szCs w:val="20"/>
              </w:rPr>
            </w:pPr>
          </w:p>
        </w:tc>
        <w:tc>
          <w:tcPr>
            <w:tcW w:w="945" w:type="dxa"/>
            <w:shd w:val="clear" w:color="auto" w:fill="auto"/>
            <w:vAlign w:val="center"/>
          </w:tcPr>
          <w:p>
            <w:pPr>
              <w:widowControl/>
              <w:jc w:val="center"/>
              <w:rPr>
                <w:rFonts w:ascii="宋体" w:hAnsi="宋体" w:cs="宋体"/>
                <w:kern w:val="0"/>
                <w:sz w:val="20"/>
                <w:szCs w:val="20"/>
              </w:rPr>
            </w:pPr>
          </w:p>
        </w:tc>
        <w:tc>
          <w:tcPr>
            <w:tcW w:w="11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46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24" w:type="dxa"/>
            <w:shd w:val="clear" w:color="auto" w:fill="auto"/>
            <w:vAlign w:val="center"/>
          </w:tcPr>
          <w:p>
            <w:pPr>
              <w:widowControl/>
              <w:jc w:val="center"/>
              <w:rPr>
                <w:rFonts w:ascii="宋体" w:hAnsi="宋体" w:cs="宋体"/>
                <w:kern w:val="0"/>
                <w:sz w:val="20"/>
                <w:szCs w:val="20"/>
              </w:rPr>
            </w:pPr>
          </w:p>
        </w:tc>
        <w:tc>
          <w:tcPr>
            <w:tcW w:w="1153" w:type="dxa"/>
            <w:shd w:val="clear" w:color="auto" w:fill="auto"/>
            <w:vAlign w:val="center"/>
          </w:tcPr>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47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二、职工福利费支出</w:t>
            </w:r>
          </w:p>
        </w:tc>
        <w:tc>
          <w:tcPr>
            <w:tcW w:w="1039" w:type="dxa"/>
            <w:shd w:val="clear" w:color="auto" w:fill="auto"/>
            <w:vAlign w:val="center"/>
          </w:tcPr>
          <w:p>
            <w:pPr>
              <w:widowControl/>
              <w:jc w:val="center"/>
              <w:rPr>
                <w:rFonts w:ascii="宋体" w:hAnsi="宋体" w:cs="宋体"/>
                <w:kern w:val="0"/>
                <w:sz w:val="20"/>
                <w:szCs w:val="20"/>
              </w:rPr>
            </w:pPr>
          </w:p>
        </w:tc>
        <w:tc>
          <w:tcPr>
            <w:tcW w:w="945" w:type="dxa"/>
            <w:shd w:val="clear" w:color="auto" w:fill="auto"/>
            <w:vAlign w:val="center"/>
          </w:tcPr>
          <w:p>
            <w:pPr>
              <w:widowControl/>
              <w:jc w:val="center"/>
              <w:rPr>
                <w:rFonts w:ascii="宋体" w:hAnsi="宋体" w:cs="宋体"/>
                <w:kern w:val="0"/>
                <w:sz w:val="20"/>
                <w:szCs w:val="20"/>
              </w:rPr>
            </w:pPr>
          </w:p>
        </w:tc>
        <w:tc>
          <w:tcPr>
            <w:tcW w:w="1111" w:type="dxa"/>
            <w:shd w:val="clear" w:color="auto" w:fill="auto"/>
            <w:vAlign w:val="center"/>
          </w:tcPr>
          <w:p>
            <w:pPr>
              <w:widowControl/>
              <w:jc w:val="center"/>
              <w:rPr>
                <w:rFonts w:ascii="宋体" w:hAnsi="宋体" w:cs="宋体"/>
                <w:kern w:val="0"/>
                <w:sz w:val="20"/>
                <w:szCs w:val="20"/>
              </w:rPr>
            </w:pPr>
          </w:p>
        </w:tc>
        <w:tc>
          <w:tcPr>
            <w:tcW w:w="146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24" w:type="dxa"/>
            <w:shd w:val="clear" w:color="auto" w:fill="auto"/>
            <w:vAlign w:val="center"/>
          </w:tcPr>
          <w:p>
            <w:pPr>
              <w:widowControl/>
              <w:jc w:val="center"/>
              <w:rPr>
                <w:rFonts w:ascii="宋体" w:hAnsi="宋体" w:cs="宋体"/>
                <w:kern w:val="0"/>
                <w:sz w:val="20"/>
                <w:szCs w:val="20"/>
              </w:rPr>
            </w:pPr>
          </w:p>
        </w:tc>
        <w:tc>
          <w:tcPr>
            <w:tcW w:w="1153" w:type="dxa"/>
            <w:shd w:val="clear" w:color="auto" w:fill="auto"/>
            <w:vAlign w:val="center"/>
          </w:tcPr>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47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三、职工教育经费支出</w:t>
            </w:r>
          </w:p>
        </w:tc>
        <w:tc>
          <w:tcPr>
            <w:tcW w:w="1039" w:type="dxa"/>
            <w:shd w:val="clear" w:color="auto" w:fill="auto"/>
            <w:vAlign w:val="center"/>
          </w:tcPr>
          <w:p>
            <w:pPr>
              <w:widowControl/>
              <w:jc w:val="center"/>
              <w:rPr>
                <w:rFonts w:ascii="宋体" w:hAnsi="宋体" w:cs="宋体"/>
                <w:kern w:val="0"/>
                <w:sz w:val="20"/>
                <w:szCs w:val="20"/>
              </w:rPr>
            </w:pPr>
          </w:p>
        </w:tc>
        <w:tc>
          <w:tcPr>
            <w:tcW w:w="945" w:type="dxa"/>
            <w:shd w:val="clear" w:color="auto" w:fill="auto"/>
            <w:vAlign w:val="center"/>
          </w:tcPr>
          <w:p>
            <w:pPr>
              <w:widowControl/>
              <w:jc w:val="center"/>
              <w:rPr>
                <w:rFonts w:ascii="宋体" w:hAnsi="宋体" w:cs="宋体"/>
                <w:kern w:val="0"/>
                <w:sz w:val="20"/>
                <w:szCs w:val="20"/>
              </w:rPr>
            </w:pPr>
          </w:p>
        </w:tc>
        <w:tc>
          <w:tcPr>
            <w:tcW w:w="11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467" w:type="dxa"/>
            <w:shd w:val="clear" w:color="auto" w:fill="auto"/>
            <w:vAlign w:val="center"/>
          </w:tcPr>
          <w:p>
            <w:pPr>
              <w:widowControl/>
              <w:jc w:val="center"/>
              <w:rPr>
                <w:rFonts w:ascii="宋体" w:hAnsi="宋体" w:cs="宋体"/>
                <w:kern w:val="0"/>
                <w:sz w:val="20"/>
                <w:szCs w:val="20"/>
              </w:rPr>
            </w:pPr>
          </w:p>
        </w:tc>
        <w:tc>
          <w:tcPr>
            <w:tcW w:w="824" w:type="dxa"/>
            <w:shd w:val="clear" w:color="auto" w:fill="auto"/>
            <w:vAlign w:val="center"/>
          </w:tcPr>
          <w:p>
            <w:pPr>
              <w:widowControl/>
              <w:jc w:val="center"/>
              <w:rPr>
                <w:rFonts w:ascii="宋体" w:hAnsi="宋体" w:cs="宋体"/>
                <w:kern w:val="0"/>
                <w:sz w:val="20"/>
                <w:szCs w:val="20"/>
              </w:rPr>
            </w:pPr>
          </w:p>
        </w:tc>
        <w:tc>
          <w:tcPr>
            <w:tcW w:w="1153" w:type="dxa"/>
            <w:shd w:val="clear" w:color="auto" w:fill="auto"/>
            <w:vAlign w:val="center"/>
          </w:tcPr>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4732"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其中：按税收规定比例扣除的职工教育经费</w:t>
            </w:r>
          </w:p>
        </w:tc>
        <w:tc>
          <w:tcPr>
            <w:tcW w:w="1039" w:type="dxa"/>
            <w:shd w:val="clear" w:color="auto" w:fill="auto"/>
            <w:vAlign w:val="center"/>
          </w:tcPr>
          <w:p>
            <w:pPr>
              <w:widowControl/>
              <w:jc w:val="center"/>
              <w:rPr>
                <w:rFonts w:ascii="宋体" w:hAnsi="宋体" w:cs="宋体"/>
                <w:kern w:val="0"/>
                <w:sz w:val="20"/>
                <w:szCs w:val="20"/>
              </w:rPr>
            </w:pPr>
          </w:p>
        </w:tc>
        <w:tc>
          <w:tcPr>
            <w:tcW w:w="945" w:type="dxa"/>
            <w:shd w:val="clear" w:color="auto" w:fill="auto"/>
            <w:vAlign w:val="center"/>
          </w:tcPr>
          <w:p>
            <w:pPr>
              <w:widowControl/>
              <w:jc w:val="center"/>
              <w:rPr>
                <w:rFonts w:ascii="宋体" w:hAnsi="宋体" w:cs="宋体"/>
                <w:kern w:val="0"/>
                <w:sz w:val="20"/>
                <w:szCs w:val="20"/>
              </w:rPr>
            </w:pPr>
          </w:p>
        </w:tc>
        <w:tc>
          <w:tcPr>
            <w:tcW w:w="1111" w:type="dxa"/>
            <w:shd w:val="clear" w:color="auto" w:fill="auto"/>
            <w:vAlign w:val="center"/>
          </w:tcPr>
          <w:p>
            <w:pPr>
              <w:widowControl/>
              <w:jc w:val="center"/>
              <w:rPr>
                <w:rFonts w:ascii="宋体" w:hAnsi="宋体" w:cs="宋体"/>
                <w:kern w:val="0"/>
                <w:sz w:val="20"/>
                <w:szCs w:val="20"/>
              </w:rPr>
            </w:pPr>
          </w:p>
        </w:tc>
        <w:tc>
          <w:tcPr>
            <w:tcW w:w="1467" w:type="dxa"/>
            <w:shd w:val="clear" w:color="auto" w:fill="auto"/>
            <w:vAlign w:val="center"/>
          </w:tcPr>
          <w:p>
            <w:pPr>
              <w:widowControl/>
              <w:jc w:val="center"/>
              <w:rPr>
                <w:rFonts w:ascii="宋体" w:hAnsi="宋体" w:cs="宋体"/>
                <w:kern w:val="0"/>
                <w:sz w:val="20"/>
                <w:szCs w:val="20"/>
              </w:rPr>
            </w:pPr>
          </w:p>
        </w:tc>
        <w:tc>
          <w:tcPr>
            <w:tcW w:w="824" w:type="dxa"/>
            <w:shd w:val="clear" w:color="auto" w:fill="auto"/>
            <w:vAlign w:val="center"/>
          </w:tcPr>
          <w:p>
            <w:pPr>
              <w:widowControl/>
              <w:jc w:val="center"/>
              <w:rPr>
                <w:rFonts w:ascii="宋体" w:hAnsi="宋体" w:cs="宋体"/>
                <w:kern w:val="0"/>
                <w:sz w:val="20"/>
                <w:szCs w:val="20"/>
              </w:rPr>
            </w:pPr>
          </w:p>
        </w:tc>
        <w:tc>
          <w:tcPr>
            <w:tcW w:w="1153" w:type="dxa"/>
            <w:shd w:val="clear" w:color="auto" w:fill="auto"/>
            <w:vAlign w:val="center"/>
          </w:tcPr>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4732" w:type="dxa"/>
            <w:shd w:val="clear" w:color="auto" w:fill="auto"/>
            <w:vAlign w:val="center"/>
          </w:tcPr>
          <w:p>
            <w:pPr>
              <w:widowControl/>
              <w:ind w:firstLine="1000" w:firstLineChars="500"/>
              <w:jc w:val="left"/>
              <w:rPr>
                <w:rFonts w:ascii="宋体" w:hAnsi="宋体" w:cs="宋体"/>
                <w:kern w:val="0"/>
                <w:sz w:val="20"/>
                <w:szCs w:val="20"/>
              </w:rPr>
            </w:pPr>
            <w:r>
              <w:rPr>
                <w:rFonts w:hint="eastAsia" w:ascii="宋体" w:hAnsi="宋体" w:cs="宋体"/>
                <w:kern w:val="0"/>
                <w:sz w:val="20"/>
                <w:szCs w:val="20"/>
              </w:rPr>
              <w:t>按税收规定全额扣除的职工培训费用</w:t>
            </w:r>
          </w:p>
        </w:tc>
        <w:tc>
          <w:tcPr>
            <w:tcW w:w="1039" w:type="dxa"/>
            <w:shd w:val="clear" w:color="auto" w:fill="auto"/>
            <w:vAlign w:val="center"/>
          </w:tcPr>
          <w:p>
            <w:pPr>
              <w:widowControl/>
              <w:jc w:val="center"/>
              <w:rPr>
                <w:rFonts w:ascii="宋体" w:hAnsi="宋体" w:cs="宋体"/>
                <w:kern w:val="0"/>
                <w:sz w:val="20"/>
                <w:szCs w:val="20"/>
              </w:rPr>
            </w:pPr>
          </w:p>
        </w:tc>
        <w:tc>
          <w:tcPr>
            <w:tcW w:w="945" w:type="dxa"/>
            <w:shd w:val="clear" w:color="auto" w:fill="auto"/>
            <w:vAlign w:val="center"/>
          </w:tcPr>
          <w:p>
            <w:pPr>
              <w:widowControl/>
              <w:jc w:val="center"/>
              <w:rPr>
                <w:rFonts w:ascii="宋体" w:hAnsi="宋体" w:cs="宋体"/>
                <w:kern w:val="0"/>
                <w:sz w:val="20"/>
                <w:szCs w:val="20"/>
              </w:rPr>
            </w:pPr>
          </w:p>
        </w:tc>
        <w:tc>
          <w:tcPr>
            <w:tcW w:w="1111" w:type="dxa"/>
            <w:shd w:val="clear" w:color="auto" w:fill="auto"/>
            <w:vAlign w:val="center"/>
          </w:tcPr>
          <w:p>
            <w:pPr>
              <w:widowControl/>
              <w:jc w:val="center"/>
              <w:rPr>
                <w:rFonts w:ascii="宋体" w:hAnsi="宋体" w:cs="宋体"/>
                <w:kern w:val="0"/>
                <w:sz w:val="20"/>
                <w:szCs w:val="20"/>
              </w:rPr>
            </w:pPr>
          </w:p>
        </w:tc>
        <w:tc>
          <w:tcPr>
            <w:tcW w:w="146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24" w:type="dxa"/>
            <w:shd w:val="clear" w:color="auto" w:fill="auto"/>
            <w:vAlign w:val="center"/>
          </w:tcPr>
          <w:p>
            <w:pPr>
              <w:widowControl/>
              <w:jc w:val="center"/>
              <w:rPr>
                <w:rFonts w:ascii="宋体" w:hAnsi="宋体" w:cs="宋体"/>
                <w:kern w:val="0"/>
                <w:sz w:val="20"/>
                <w:szCs w:val="20"/>
              </w:rPr>
            </w:pPr>
          </w:p>
        </w:tc>
        <w:tc>
          <w:tcPr>
            <w:tcW w:w="1153" w:type="dxa"/>
            <w:shd w:val="clear" w:color="auto" w:fill="auto"/>
            <w:vAlign w:val="center"/>
          </w:tcPr>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47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四、工会经费支出</w:t>
            </w:r>
          </w:p>
        </w:tc>
        <w:tc>
          <w:tcPr>
            <w:tcW w:w="1039" w:type="dxa"/>
            <w:shd w:val="clear" w:color="auto" w:fill="auto"/>
            <w:vAlign w:val="center"/>
          </w:tcPr>
          <w:p>
            <w:pPr>
              <w:widowControl/>
              <w:jc w:val="center"/>
              <w:rPr>
                <w:rFonts w:ascii="宋体" w:hAnsi="宋体" w:cs="宋体"/>
                <w:kern w:val="0"/>
                <w:sz w:val="20"/>
                <w:szCs w:val="20"/>
              </w:rPr>
            </w:pPr>
          </w:p>
        </w:tc>
        <w:tc>
          <w:tcPr>
            <w:tcW w:w="945" w:type="dxa"/>
            <w:shd w:val="clear" w:color="auto" w:fill="auto"/>
            <w:vAlign w:val="center"/>
          </w:tcPr>
          <w:p>
            <w:pPr>
              <w:widowControl/>
              <w:jc w:val="center"/>
              <w:rPr>
                <w:rFonts w:ascii="宋体" w:hAnsi="宋体" w:cs="宋体"/>
                <w:kern w:val="0"/>
                <w:sz w:val="20"/>
                <w:szCs w:val="20"/>
              </w:rPr>
            </w:pPr>
          </w:p>
        </w:tc>
        <w:tc>
          <w:tcPr>
            <w:tcW w:w="1111" w:type="dxa"/>
            <w:shd w:val="clear" w:color="auto" w:fill="auto"/>
            <w:vAlign w:val="center"/>
          </w:tcPr>
          <w:p>
            <w:pPr>
              <w:widowControl/>
              <w:jc w:val="center"/>
              <w:rPr>
                <w:rFonts w:ascii="宋体" w:hAnsi="宋体" w:cs="宋体"/>
                <w:kern w:val="0"/>
                <w:sz w:val="20"/>
                <w:szCs w:val="20"/>
              </w:rPr>
            </w:pPr>
          </w:p>
        </w:tc>
        <w:tc>
          <w:tcPr>
            <w:tcW w:w="146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24" w:type="dxa"/>
            <w:shd w:val="clear" w:color="auto" w:fill="auto"/>
            <w:vAlign w:val="center"/>
          </w:tcPr>
          <w:p>
            <w:pPr>
              <w:widowControl/>
              <w:jc w:val="center"/>
              <w:rPr>
                <w:rFonts w:ascii="宋体" w:hAnsi="宋体" w:cs="宋体"/>
                <w:kern w:val="0"/>
                <w:sz w:val="20"/>
                <w:szCs w:val="20"/>
              </w:rPr>
            </w:pPr>
          </w:p>
        </w:tc>
        <w:tc>
          <w:tcPr>
            <w:tcW w:w="1153" w:type="dxa"/>
            <w:shd w:val="clear" w:color="auto" w:fill="auto"/>
            <w:vAlign w:val="center"/>
          </w:tcPr>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47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五、各类基本社会保障性缴款</w:t>
            </w:r>
          </w:p>
        </w:tc>
        <w:tc>
          <w:tcPr>
            <w:tcW w:w="1039" w:type="dxa"/>
            <w:shd w:val="clear" w:color="auto" w:fill="auto"/>
            <w:vAlign w:val="center"/>
          </w:tcPr>
          <w:p>
            <w:pPr>
              <w:widowControl/>
              <w:jc w:val="center"/>
              <w:rPr>
                <w:rFonts w:ascii="宋体" w:hAnsi="宋体" w:cs="宋体"/>
                <w:kern w:val="0"/>
                <w:sz w:val="20"/>
                <w:szCs w:val="20"/>
              </w:rPr>
            </w:pPr>
          </w:p>
        </w:tc>
        <w:tc>
          <w:tcPr>
            <w:tcW w:w="945" w:type="dxa"/>
            <w:shd w:val="clear" w:color="auto" w:fill="auto"/>
            <w:vAlign w:val="center"/>
          </w:tcPr>
          <w:p>
            <w:pPr>
              <w:widowControl/>
              <w:jc w:val="center"/>
              <w:rPr>
                <w:rFonts w:ascii="宋体" w:hAnsi="宋体" w:cs="宋体"/>
                <w:kern w:val="0"/>
                <w:sz w:val="20"/>
                <w:szCs w:val="20"/>
              </w:rPr>
            </w:pPr>
          </w:p>
        </w:tc>
        <w:tc>
          <w:tcPr>
            <w:tcW w:w="11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46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24" w:type="dxa"/>
            <w:shd w:val="clear" w:color="auto" w:fill="auto"/>
            <w:vAlign w:val="center"/>
          </w:tcPr>
          <w:p>
            <w:pPr>
              <w:widowControl/>
              <w:jc w:val="center"/>
              <w:rPr>
                <w:rFonts w:ascii="宋体" w:hAnsi="宋体" w:cs="宋体"/>
                <w:kern w:val="0"/>
                <w:sz w:val="20"/>
                <w:szCs w:val="20"/>
              </w:rPr>
            </w:pPr>
          </w:p>
        </w:tc>
        <w:tc>
          <w:tcPr>
            <w:tcW w:w="1153" w:type="dxa"/>
            <w:shd w:val="clear" w:color="auto" w:fill="auto"/>
            <w:vAlign w:val="center"/>
          </w:tcPr>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47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六、住房公积金</w:t>
            </w:r>
          </w:p>
        </w:tc>
        <w:tc>
          <w:tcPr>
            <w:tcW w:w="1039" w:type="dxa"/>
            <w:shd w:val="clear" w:color="auto" w:fill="auto"/>
            <w:vAlign w:val="center"/>
          </w:tcPr>
          <w:p>
            <w:pPr>
              <w:widowControl/>
              <w:jc w:val="center"/>
              <w:rPr>
                <w:rFonts w:ascii="宋体" w:hAnsi="宋体" w:cs="宋体"/>
                <w:kern w:val="0"/>
                <w:sz w:val="20"/>
                <w:szCs w:val="20"/>
              </w:rPr>
            </w:pPr>
          </w:p>
        </w:tc>
        <w:tc>
          <w:tcPr>
            <w:tcW w:w="945" w:type="dxa"/>
            <w:shd w:val="clear" w:color="auto" w:fill="auto"/>
            <w:vAlign w:val="center"/>
          </w:tcPr>
          <w:p>
            <w:pPr>
              <w:widowControl/>
              <w:jc w:val="center"/>
              <w:rPr>
                <w:rFonts w:ascii="宋体" w:hAnsi="宋体" w:cs="宋体"/>
                <w:kern w:val="0"/>
                <w:sz w:val="20"/>
                <w:szCs w:val="20"/>
              </w:rPr>
            </w:pPr>
          </w:p>
        </w:tc>
        <w:tc>
          <w:tcPr>
            <w:tcW w:w="11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46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24" w:type="dxa"/>
            <w:shd w:val="clear" w:color="auto" w:fill="auto"/>
            <w:vAlign w:val="center"/>
          </w:tcPr>
          <w:p>
            <w:pPr>
              <w:widowControl/>
              <w:jc w:val="center"/>
              <w:rPr>
                <w:rFonts w:ascii="宋体" w:hAnsi="宋体" w:cs="宋体"/>
                <w:kern w:val="0"/>
                <w:sz w:val="20"/>
                <w:szCs w:val="20"/>
              </w:rPr>
            </w:pPr>
          </w:p>
        </w:tc>
        <w:tc>
          <w:tcPr>
            <w:tcW w:w="1153" w:type="dxa"/>
            <w:shd w:val="clear" w:color="auto" w:fill="auto"/>
            <w:vAlign w:val="center"/>
          </w:tcPr>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47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七、补充养老保险</w:t>
            </w:r>
          </w:p>
        </w:tc>
        <w:tc>
          <w:tcPr>
            <w:tcW w:w="1039" w:type="dxa"/>
            <w:shd w:val="clear" w:color="auto" w:fill="auto"/>
            <w:vAlign w:val="center"/>
          </w:tcPr>
          <w:p>
            <w:pPr>
              <w:widowControl/>
              <w:jc w:val="center"/>
              <w:rPr>
                <w:rFonts w:ascii="宋体" w:hAnsi="宋体" w:cs="宋体"/>
                <w:kern w:val="0"/>
                <w:sz w:val="20"/>
                <w:szCs w:val="20"/>
              </w:rPr>
            </w:pPr>
          </w:p>
        </w:tc>
        <w:tc>
          <w:tcPr>
            <w:tcW w:w="945" w:type="dxa"/>
            <w:shd w:val="clear" w:color="auto" w:fill="auto"/>
            <w:vAlign w:val="center"/>
          </w:tcPr>
          <w:p>
            <w:pPr>
              <w:widowControl/>
              <w:jc w:val="center"/>
              <w:rPr>
                <w:rFonts w:ascii="宋体" w:hAnsi="宋体" w:cs="宋体"/>
                <w:kern w:val="0"/>
                <w:sz w:val="20"/>
                <w:szCs w:val="20"/>
              </w:rPr>
            </w:pPr>
          </w:p>
        </w:tc>
        <w:tc>
          <w:tcPr>
            <w:tcW w:w="1111" w:type="dxa"/>
            <w:shd w:val="clear" w:color="auto" w:fill="auto"/>
            <w:vAlign w:val="center"/>
          </w:tcPr>
          <w:p>
            <w:pPr>
              <w:widowControl/>
              <w:jc w:val="center"/>
              <w:rPr>
                <w:rFonts w:ascii="宋体" w:hAnsi="宋体" w:cs="宋体"/>
                <w:kern w:val="0"/>
                <w:sz w:val="20"/>
                <w:szCs w:val="20"/>
              </w:rPr>
            </w:pPr>
          </w:p>
        </w:tc>
        <w:tc>
          <w:tcPr>
            <w:tcW w:w="146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24" w:type="dxa"/>
            <w:shd w:val="clear" w:color="auto" w:fill="auto"/>
            <w:vAlign w:val="center"/>
          </w:tcPr>
          <w:p>
            <w:pPr>
              <w:widowControl/>
              <w:jc w:val="center"/>
              <w:rPr>
                <w:rFonts w:ascii="宋体" w:hAnsi="宋体" w:cs="宋体"/>
                <w:kern w:val="0"/>
                <w:sz w:val="20"/>
                <w:szCs w:val="20"/>
              </w:rPr>
            </w:pPr>
          </w:p>
        </w:tc>
        <w:tc>
          <w:tcPr>
            <w:tcW w:w="1153" w:type="dxa"/>
            <w:shd w:val="clear" w:color="auto" w:fill="auto"/>
            <w:vAlign w:val="center"/>
          </w:tcPr>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47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八、补充医疗保险</w:t>
            </w:r>
          </w:p>
        </w:tc>
        <w:tc>
          <w:tcPr>
            <w:tcW w:w="1039" w:type="dxa"/>
            <w:shd w:val="clear" w:color="auto" w:fill="auto"/>
            <w:vAlign w:val="center"/>
          </w:tcPr>
          <w:p>
            <w:pPr>
              <w:widowControl/>
              <w:jc w:val="center"/>
              <w:rPr>
                <w:rFonts w:ascii="宋体" w:hAnsi="宋体" w:cs="宋体"/>
                <w:kern w:val="0"/>
                <w:sz w:val="20"/>
                <w:szCs w:val="20"/>
              </w:rPr>
            </w:pPr>
          </w:p>
        </w:tc>
        <w:tc>
          <w:tcPr>
            <w:tcW w:w="945" w:type="dxa"/>
            <w:shd w:val="clear" w:color="auto" w:fill="auto"/>
            <w:vAlign w:val="center"/>
          </w:tcPr>
          <w:p>
            <w:pPr>
              <w:widowControl/>
              <w:jc w:val="center"/>
              <w:rPr>
                <w:rFonts w:ascii="宋体" w:hAnsi="宋体" w:cs="宋体"/>
                <w:kern w:val="0"/>
                <w:sz w:val="20"/>
                <w:szCs w:val="20"/>
              </w:rPr>
            </w:pPr>
          </w:p>
        </w:tc>
        <w:tc>
          <w:tcPr>
            <w:tcW w:w="1111" w:type="dxa"/>
            <w:shd w:val="clear" w:color="auto" w:fill="auto"/>
            <w:vAlign w:val="center"/>
          </w:tcPr>
          <w:p>
            <w:pPr>
              <w:widowControl/>
              <w:jc w:val="center"/>
              <w:rPr>
                <w:rFonts w:ascii="宋体" w:hAnsi="宋体" w:cs="宋体"/>
                <w:kern w:val="0"/>
                <w:sz w:val="20"/>
                <w:szCs w:val="20"/>
              </w:rPr>
            </w:pPr>
          </w:p>
        </w:tc>
        <w:tc>
          <w:tcPr>
            <w:tcW w:w="146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24" w:type="dxa"/>
            <w:shd w:val="clear" w:color="auto" w:fill="auto"/>
            <w:vAlign w:val="center"/>
          </w:tcPr>
          <w:p>
            <w:pPr>
              <w:widowControl/>
              <w:jc w:val="center"/>
              <w:rPr>
                <w:rFonts w:ascii="宋体" w:hAnsi="宋体" w:cs="宋体"/>
                <w:kern w:val="0"/>
                <w:sz w:val="20"/>
                <w:szCs w:val="20"/>
              </w:rPr>
            </w:pPr>
          </w:p>
        </w:tc>
        <w:tc>
          <w:tcPr>
            <w:tcW w:w="1153" w:type="dxa"/>
            <w:shd w:val="clear" w:color="auto" w:fill="auto"/>
            <w:vAlign w:val="center"/>
          </w:tcPr>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7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九、其他</w:t>
            </w:r>
          </w:p>
        </w:tc>
        <w:tc>
          <w:tcPr>
            <w:tcW w:w="1039" w:type="dxa"/>
            <w:shd w:val="clear" w:color="auto" w:fill="auto"/>
            <w:vAlign w:val="center"/>
          </w:tcPr>
          <w:p>
            <w:pPr>
              <w:widowControl/>
              <w:jc w:val="center"/>
              <w:rPr>
                <w:rFonts w:ascii="宋体" w:hAnsi="宋体" w:cs="宋体"/>
                <w:kern w:val="0"/>
                <w:sz w:val="20"/>
                <w:szCs w:val="20"/>
              </w:rPr>
            </w:pPr>
          </w:p>
        </w:tc>
        <w:tc>
          <w:tcPr>
            <w:tcW w:w="945" w:type="dxa"/>
            <w:shd w:val="clear" w:color="auto" w:fill="auto"/>
            <w:vAlign w:val="center"/>
          </w:tcPr>
          <w:p>
            <w:pPr>
              <w:widowControl/>
              <w:jc w:val="center"/>
              <w:rPr>
                <w:rFonts w:ascii="宋体" w:hAnsi="宋体" w:cs="宋体"/>
                <w:kern w:val="0"/>
                <w:sz w:val="20"/>
                <w:szCs w:val="20"/>
              </w:rPr>
            </w:pPr>
          </w:p>
        </w:tc>
        <w:tc>
          <w:tcPr>
            <w:tcW w:w="11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46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24" w:type="dxa"/>
            <w:shd w:val="clear" w:color="auto" w:fill="auto"/>
            <w:vAlign w:val="center"/>
          </w:tcPr>
          <w:p>
            <w:pPr>
              <w:widowControl/>
              <w:jc w:val="center"/>
              <w:rPr>
                <w:rFonts w:ascii="宋体" w:hAnsi="宋体" w:cs="宋体"/>
                <w:kern w:val="0"/>
                <w:sz w:val="20"/>
                <w:szCs w:val="20"/>
              </w:rPr>
            </w:pPr>
          </w:p>
        </w:tc>
        <w:tc>
          <w:tcPr>
            <w:tcW w:w="1153" w:type="dxa"/>
            <w:shd w:val="clear" w:color="auto" w:fill="auto"/>
            <w:vAlign w:val="center"/>
          </w:tcPr>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3</w:t>
            </w:r>
          </w:p>
        </w:tc>
        <w:tc>
          <w:tcPr>
            <w:tcW w:w="473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合计（1+3+4+7+8+9+10+11+12）</w:t>
            </w:r>
          </w:p>
        </w:tc>
        <w:tc>
          <w:tcPr>
            <w:tcW w:w="1039" w:type="dxa"/>
            <w:shd w:val="clear" w:color="auto" w:fill="auto"/>
            <w:vAlign w:val="center"/>
          </w:tcPr>
          <w:p>
            <w:pPr>
              <w:widowControl/>
              <w:jc w:val="center"/>
              <w:rPr>
                <w:rFonts w:ascii="宋体" w:hAnsi="宋体" w:cs="宋体"/>
                <w:kern w:val="0"/>
                <w:sz w:val="20"/>
                <w:szCs w:val="20"/>
              </w:rPr>
            </w:pPr>
          </w:p>
        </w:tc>
        <w:tc>
          <w:tcPr>
            <w:tcW w:w="945" w:type="dxa"/>
            <w:shd w:val="clear" w:color="auto" w:fill="auto"/>
            <w:vAlign w:val="center"/>
          </w:tcPr>
          <w:p>
            <w:pPr>
              <w:widowControl/>
              <w:jc w:val="center"/>
              <w:rPr>
                <w:rFonts w:ascii="宋体" w:hAnsi="宋体" w:cs="宋体"/>
                <w:kern w:val="0"/>
                <w:sz w:val="20"/>
                <w:szCs w:val="20"/>
              </w:rPr>
            </w:pPr>
          </w:p>
        </w:tc>
        <w:tc>
          <w:tcPr>
            <w:tcW w:w="111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467" w:type="dxa"/>
            <w:shd w:val="clear" w:color="auto" w:fill="auto"/>
            <w:vAlign w:val="center"/>
          </w:tcPr>
          <w:p>
            <w:pPr>
              <w:widowControl/>
              <w:jc w:val="center"/>
              <w:rPr>
                <w:rFonts w:ascii="宋体" w:hAnsi="宋体" w:cs="宋体"/>
                <w:kern w:val="0"/>
                <w:sz w:val="20"/>
                <w:szCs w:val="20"/>
              </w:rPr>
            </w:pPr>
          </w:p>
        </w:tc>
        <w:tc>
          <w:tcPr>
            <w:tcW w:w="824" w:type="dxa"/>
            <w:shd w:val="clear" w:color="auto" w:fill="auto"/>
            <w:vAlign w:val="center"/>
          </w:tcPr>
          <w:p>
            <w:pPr>
              <w:widowControl/>
              <w:jc w:val="center"/>
              <w:rPr>
                <w:rFonts w:ascii="宋体" w:hAnsi="宋体" w:cs="宋体"/>
                <w:kern w:val="0"/>
                <w:sz w:val="20"/>
                <w:szCs w:val="20"/>
              </w:rPr>
            </w:pPr>
          </w:p>
        </w:tc>
        <w:tc>
          <w:tcPr>
            <w:tcW w:w="1153" w:type="dxa"/>
            <w:shd w:val="clear" w:color="auto" w:fill="auto"/>
            <w:vAlign w:val="center"/>
          </w:tcPr>
          <w:p>
            <w:pPr>
              <w:widowControl/>
              <w:jc w:val="center"/>
              <w:rPr>
                <w:rFonts w:ascii="宋体" w:hAnsi="宋体" w:cs="宋体"/>
                <w:kern w:val="0"/>
                <w:sz w:val="20"/>
                <w:szCs w:val="20"/>
              </w:rPr>
            </w:pPr>
          </w:p>
        </w:tc>
        <w:tc>
          <w:tcPr>
            <w:tcW w:w="1416" w:type="dxa"/>
            <w:shd w:val="clear" w:color="auto" w:fill="auto"/>
            <w:vAlign w:val="center"/>
          </w:tcPr>
          <w:p>
            <w:pPr>
              <w:widowControl/>
              <w:jc w:val="center"/>
              <w:rPr>
                <w:rFonts w:ascii="宋体" w:hAnsi="宋体" w:cs="宋体"/>
                <w:kern w:val="0"/>
                <w:sz w:val="20"/>
                <w:szCs w:val="20"/>
              </w:rPr>
            </w:pPr>
          </w:p>
        </w:tc>
      </w:tr>
    </w:tbl>
    <w:p>
      <w:pPr>
        <w:pStyle w:val="9"/>
        <w:sectPr>
          <w:pgSz w:w="16838" w:h="11906" w:orient="landscape"/>
          <w:pgMar w:top="1418" w:right="1985" w:bottom="1418" w:left="1928" w:header="851" w:footer="992" w:gutter="113"/>
          <w:cols w:space="425" w:num="1"/>
          <w:titlePg/>
          <w:docGrid w:linePitch="312" w:charSpace="0"/>
        </w:sectPr>
      </w:pPr>
    </w:p>
    <w:p>
      <w:pPr>
        <w:pStyle w:val="8"/>
        <w:spacing w:before="240" w:after="360"/>
        <w:rPr>
          <w:color w:val="000000"/>
        </w:rPr>
      </w:pPr>
      <w:bookmarkStart w:id="53" w:name="_Toc499456580"/>
      <w:r>
        <w:t>A105050</w:t>
      </w:r>
      <w:r>
        <w:tab/>
      </w:r>
      <w:r>
        <w:rPr>
          <w:rFonts w:hint="eastAsia"/>
        </w:rPr>
        <w:t>《职工薪酬支出及纳税调整明细表》填报说明</w:t>
      </w:r>
      <w:bookmarkEnd w:id="53"/>
    </w:p>
    <w:p>
      <w:pPr>
        <w:spacing w:line="360" w:lineRule="auto"/>
        <w:ind w:firstLine="480" w:firstLineChars="200"/>
        <w:rPr>
          <w:rFonts w:ascii="宋体" w:hAnsi="宋体" w:cs="Calibri"/>
          <w:color w:val="000000"/>
          <w:sz w:val="24"/>
        </w:rPr>
      </w:pPr>
      <w:r>
        <w:rPr>
          <w:rFonts w:hint="eastAsia" w:ascii="宋体" w:hAnsi="宋体" w:cs="Calibri"/>
          <w:color w:val="000000"/>
          <w:sz w:val="24"/>
        </w:rPr>
        <w:t>纳税人根据税法、《国家税务总局关于企业工资薪金及职工福利费扣除问题的通知》（国税函〔2009〕3号）、《财政部 国家税务总局关于扶持动漫产业发展有关税收政策问题的通知》（财税〔2009〕65号）、《财政部 国家税务总局关于进一步鼓励软件产业和集成电路产业发展企业所得税政策的通知》（财税〔2012〕27号）、《国家税务总局关于我国居民企业实行股权激励计划有关企业所得税处理问题的公告》（国家税务总局公告2012年第18号）、《财政部 国家税务总局 商务部 科技部国家发展改革委关于完善技术先进型服务企业有关企业所得税政策问题的通知》（财税〔2014〕59号）、《国家税务总局关于企业工资薪金和职工福利费等支出税前扣除问题的公告》（国家税务总局公告2015年第34号）、《财政部 国家税务总局关于高新技术企业职工教育经费税前扣除政策的通知》（财税〔2015〕63号）等相关规定，以及国家统一企业会计制度，填报纳税人职工薪酬会计处理、税收规定，以及纳税调整情况。纳税人只要发生相关支出，不论是否纳税调整，均需填报。</w:t>
      </w:r>
    </w:p>
    <w:p>
      <w:pPr>
        <w:pStyle w:val="11"/>
        <w:ind w:firstLine="482"/>
      </w:pPr>
      <w:r>
        <w:rPr>
          <w:rFonts w:hint="eastAsia"/>
        </w:rPr>
        <w:t>一、有关项目填报说明</w:t>
      </w:r>
    </w:p>
    <w:p>
      <w:pPr>
        <w:spacing w:line="360" w:lineRule="auto"/>
        <w:ind w:firstLine="480" w:firstLineChars="200"/>
        <w:rPr>
          <w:rFonts w:ascii="宋体" w:hAnsi="宋体"/>
          <w:color w:val="000000"/>
          <w:sz w:val="24"/>
        </w:rPr>
      </w:pPr>
      <w:r>
        <w:rPr>
          <w:rFonts w:hint="eastAsia" w:ascii="宋体" w:hAnsi="宋体"/>
          <w:color w:val="000000"/>
          <w:sz w:val="24"/>
        </w:rPr>
        <w:t>1.第1行“一、工资薪金支出”：填报纳税人本年度支付给在本企业任职或者受雇的员工的所有现金形式或非现金形式的劳动报酬及其会计核算、纳税调整等金额，具体如下：</w:t>
      </w:r>
    </w:p>
    <w:p>
      <w:pPr>
        <w:spacing w:line="360" w:lineRule="auto"/>
        <w:ind w:firstLine="480" w:firstLineChars="200"/>
        <w:rPr>
          <w:rFonts w:ascii="宋体" w:hAnsi="宋体"/>
          <w:color w:val="000000"/>
          <w:sz w:val="24"/>
        </w:rPr>
      </w:pPr>
      <w:r>
        <w:rPr>
          <w:rFonts w:hint="eastAsia" w:ascii="宋体" w:hAnsi="宋体"/>
          <w:color w:val="000000"/>
          <w:sz w:val="24"/>
        </w:rPr>
        <w:t>（1）第1列“账载金额”：填报纳税人会计核算计入成本费用的职工工资、奖金、津贴和补贴金额。</w:t>
      </w:r>
    </w:p>
    <w:p>
      <w:pPr>
        <w:spacing w:line="360" w:lineRule="auto"/>
        <w:ind w:firstLine="480" w:firstLineChars="200"/>
        <w:rPr>
          <w:rFonts w:ascii="宋体" w:hAnsi="宋体"/>
          <w:color w:val="000000"/>
          <w:sz w:val="24"/>
        </w:rPr>
      </w:pPr>
      <w:r>
        <w:rPr>
          <w:rFonts w:hint="eastAsia" w:ascii="宋体" w:hAnsi="宋体"/>
          <w:color w:val="000000"/>
          <w:sz w:val="24"/>
        </w:rPr>
        <w:t>（2）第2列“实际发生额”：分析填报纳税人“应付职工薪酬”会计科目借方发生额（实际发放的工资薪金）。</w:t>
      </w:r>
    </w:p>
    <w:p>
      <w:pPr>
        <w:spacing w:line="360" w:lineRule="auto"/>
        <w:ind w:firstLine="480" w:firstLineChars="200"/>
        <w:rPr>
          <w:rFonts w:ascii="宋体" w:hAnsi="宋体"/>
          <w:color w:val="000000"/>
          <w:sz w:val="24"/>
        </w:rPr>
      </w:pPr>
      <w:r>
        <w:rPr>
          <w:rFonts w:hint="eastAsia" w:ascii="宋体" w:hAnsi="宋体"/>
          <w:color w:val="000000"/>
          <w:sz w:val="24"/>
        </w:rPr>
        <w:t>（3）第5列“税收金额”：填报纳税人按照税收规定允许税前扣除的金额，按照第1列和第2列分析填报。</w:t>
      </w:r>
    </w:p>
    <w:p>
      <w:pPr>
        <w:spacing w:line="360" w:lineRule="auto"/>
        <w:ind w:firstLine="480" w:firstLineChars="200"/>
        <w:rPr>
          <w:rFonts w:ascii="宋体" w:hAnsi="宋体"/>
          <w:color w:val="000000"/>
          <w:sz w:val="24"/>
        </w:rPr>
      </w:pPr>
      <w:r>
        <w:rPr>
          <w:rFonts w:hint="eastAsia" w:ascii="宋体" w:hAnsi="宋体"/>
          <w:color w:val="000000"/>
          <w:sz w:val="24"/>
        </w:rPr>
        <w:t>（4）第6列“纳税调整金额”：填报第1-5列的余额。</w:t>
      </w:r>
    </w:p>
    <w:p>
      <w:pPr>
        <w:spacing w:line="360" w:lineRule="auto"/>
        <w:ind w:firstLine="480" w:firstLineChars="200"/>
        <w:rPr>
          <w:rFonts w:ascii="宋体" w:hAnsi="宋体"/>
          <w:color w:val="000000"/>
          <w:sz w:val="24"/>
        </w:rPr>
      </w:pPr>
      <w:r>
        <w:rPr>
          <w:rFonts w:hint="eastAsia" w:ascii="宋体" w:hAnsi="宋体"/>
          <w:color w:val="000000"/>
          <w:sz w:val="24"/>
        </w:rPr>
        <w:t>2.第2行“其中：股权激励”：本行由执行《上市公司股权激励管理办法》（中国证券监督管理委员会令第126号）的纳税人填报，具体如下：</w:t>
      </w:r>
    </w:p>
    <w:p>
      <w:pPr>
        <w:spacing w:line="360" w:lineRule="auto"/>
        <w:ind w:firstLine="480" w:firstLineChars="200"/>
        <w:rPr>
          <w:rFonts w:ascii="宋体" w:hAnsi="宋体"/>
          <w:color w:val="000000"/>
          <w:sz w:val="24"/>
        </w:rPr>
      </w:pPr>
      <w:r>
        <w:rPr>
          <w:rFonts w:hint="eastAsia" w:ascii="宋体" w:hAnsi="宋体"/>
          <w:color w:val="000000"/>
          <w:sz w:val="24"/>
        </w:rPr>
        <w:t>（1）第1列“账载金额”：填报纳税人按照国家有关规定建立职工股权激励计划，会计核算计入成本费用的金额。</w:t>
      </w:r>
    </w:p>
    <w:p>
      <w:pPr>
        <w:spacing w:line="360" w:lineRule="auto"/>
        <w:ind w:firstLine="480" w:firstLineChars="200"/>
        <w:rPr>
          <w:rFonts w:ascii="宋体" w:hAnsi="宋体"/>
          <w:color w:val="000000"/>
          <w:sz w:val="24"/>
        </w:rPr>
      </w:pPr>
      <w:r>
        <w:rPr>
          <w:rFonts w:hint="eastAsia" w:ascii="宋体" w:hAnsi="宋体"/>
          <w:color w:val="000000"/>
          <w:sz w:val="24"/>
        </w:rPr>
        <w:t>（2）第2列“实际发生额”：填报纳税人根据本年实际行权时股权的公允价格与激励对象实际行权支付价格的差额和数量计算确定的金额。</w:t>
      </w:r>
    </w:p>
    <w:p>
      <w:pPr>
        <w:spacing w:line="360" w:lineRule="auto"/>
        <w:ind w:firstLine="480" w:firstLineChars="200"/>
        <w:rPr>
          <w:rFonts w:ascii="宋体" w:hAnsi="宋体"/>
          <w:color w:val="000000"/>
          <w:sz w:val="24"/>
        </w:rPr>
      </w:pPr>
      <w:r>
        <w:rPr>
          <w:rFonts w:hint="eastAsia" w:ascii="宋体" w:hAnsi="宋体"/>
          <w:color w:val="000000"/>
          <w:sz w:val="24"/>
        </w:rPr>
        <w:t>（3）第5列“税收金额”：填报行权时按照税收规定允许税前扣除的金额。按照第1列和第2列孰小值填报。</w:t>
      </w:r>
    </w:p>
    <w:p>
      <w:pPr>
        <w:spacing w:line="360" w:lineRule="auto"/>
        <w:ind w:firstLine="480" w:firstLineChars="200"/>
        <w:rPr>
          <w:rFonts w:ascii="宋体" w:hAnsi="宋体"/>
          <w:color w:val="000000"/>
          <w:sz w:val="24"/>
        </w:rPr>
      </w:pPr>
      <w:r>
        <w:rPr>
          <w:rFonts w:hint="eastAsia" w:ascii="宋体" w:hAnsi="宋体"/>
          <w:color w:val="000000"/>
          <w:sz w:val="24"/>
        </w:rPr>
        <w:t>（4）第6列“纳税调整金额”：填报第1-5列的余额。</w:t>
      </w:r>
    </w:p>
    <w:p>
      <w:pPr>
        <w:spacing w:line="360" w:lineRule="auto"/>
        <w:ind w:firstLine="480" w:firstLineChars="200"/>
        <w:rPr>
          <w:rFonts w:ascii="宋体" w:hAnsi="宋体"/>
          <w:color w:val="000000"/>
          <w:sz w:val="24"/>
        </w:rPr>
      </w:pPr>
      <w:r>
        <w:rPr>
          <w:rFonts w:hint="eastAsia" w:ascii="宋体" w:hAnsi="宋体"/>
          <w:color w:val="000000"/>
          <w:sz w:val="24"/>
        </w:rPr>
        <w:t>3.第3行“二、职工福利费支出”：填报纳税人本年度发生的职工福利费及其会计核算、纳税调整等金额，具体如下：</w:t>
      </w:r>
    </w:p>
    <w:p>
      <w:pPr>
        <w:spacing w:line="360" w:lineRule="auto"/>
        <w:ind w:firstLine="480" w:firstLineChars="200"/>
        <w:rPr>
          <w:rFonts w:ascii="宋体" w:hAnsi="宋体"/>
          <w:color w:val="000000"/>
          <w:sz w:val="24"/>
        </w:rPr>
      </w:pPr>
      <w:r>
        <w:rPr>
          <w:rFonts w:hint="eastAsia" w:ascii="宋体" w:hAnsi="宋体"/>
          <w:color w:val="000000"/>
          <w:sz w:val="24"/>
        </w:rPr>
        <w:t>（1）第1列“账载金额”：填报纳税人会计核算计入成本费用的职工福利费的金额。</w:t>
      </w:r>
    </w:p>
    <w:p>
      <w:pPr>
        <w:spacing w:line="360" w:lineRule="auto"/>
        <w:ind w:firstLine="480" w:firstLineChars="200"/>
        <w:rPr>
          <w:rFonts w:ascii="宋体" w:hAnsi="宋体"/>
          <w:color w:val="000000"/>
          <w:sz w:val="24"/>
        </w:rPr>
      </w:pPr>
      <w:r>
        <w:rPr>
          <w:rFonts w:hint="eastAsia" w:ascii="宋体" w:hAnsi="宋体"/>
          <w:color w:val="000000"/>
          <w:sz w:val="24"/>
        </w:rPr>
        <w:t>（2）第2列“实际发生额”：分析填报纳税人“应付职工薪酬”会计科目下的职工福利费用实际发生额。</w:t>
      </w:r>
    </w:p>
    <w:p>
      <w:pPr>
        <w:spacing w:line="360" w:lineRule="auto"/>
        <w:ind w:firstLine="480" w:firstLineChars="200"/>
        <w:rPr>
          <w:rFonts w:ascii="宋体" w:hAnsi="宋体"/>
          <w:color w:val="000000"/>
          <w:sz w:val="24"/>
        </w:rPr>
      </w:pPr>
      <w:r>
        <w:rPr>
          <w:rFonts w:hint="eastAsia" w:ascii="宋体" w:hAnsi="宋体"/>
          <w:color w:val="000000"/>
          <w:sz w:val="24"/>
        </w:rPr>
        <w:t>（3）第3列“税收规定扣除率”：填报税收规定的扣除比例（14%）。</w:t>
      </w:r>
    </w:p>
    <w:p>
      <w:pPr>
        <w:spacing w:line="360" w:lineRule="auto"/>
        <w:ind w:firstLine="480" w:firstLineChars="200"/>
        <w:rPr>
          <w:rFonts w:ascii="宋体" w:hAnsi="宋体"/>
          <w:color w:val="000000"/>
          <w:sz w:val="24"/>
        </w:rPr>
      </w:pPr>
      <w:r>
        <w:rPr>
          <w:rFonts w:hint="eastAsia" w:ascii="宋体" w:hAnsi="宋体"/>
          <w:color w:val="000000"/>
          <w:sz w:val="24"/>
        </w:rPr>
        <w:t>（4）第5列“税收金额”：填报按照税收规定允许税前扣除的金额，按第1行第5列“工资薪金支出/税收金额”×14%、本表第3行第1列、本表第3行第2列三者孰小值填报。</w:t>
      </w:r>
    </w:p>
    <w:p>
      <w:pPr>
        <w:spacing w:line="360" w:lineRule="auto"/>
        <w:ind w:firstLine="480" w:firstLineChars="200"/>
        <w:rPr>
          <w:rFonts w:ascii="宋体" w:hAnsi="宋体"/>
          <w:color w:val="000000"/>
          <w:sz w:val="24"/>
        </w:rPr>
      </w:pPr>
      <w:r>
        <w:rPr>
          <w:rFonts w:hint="eastAsia" w:ascii="宋体" w:hAnsi="宋体"/>
          <w:color w:val="000000"/>
          <w:sz w:val="24"/>
        </w:rPr>
        <w:t>（5）第6列“纳税调整金额”：填报第1-5列的余额。</w:t>
      </w:r>
    </w:p>
    <w:p>
      <w:pPr>
        <w:spacing w:line="360" w:lineRule="auto"/>
        <w:ind w:firstLine="480" w:firstLineChars="200"/>
        <w:rPr>
          <w:rFonts w:ascii="宋体" w:hAnsi="宋体"/>
          <w:color w:val="FF0000"/>
          <w:sz w:val="24"/>
        </w:rPr>
      </w:pPr>
      <w:r>
        <w:rPr>
          <w:rFonts w:hint="eastAsia" w:ascii="宋体" w:hAnsi="宋体"/>
          <w:color w:val="000000"/>
          <w:sz w:val="24"/>
        </w:rPr>
        <w:t>4.第4行“三、职工教育经费支出”：填报第5行或者第5+6行金额。</w:t>
      </w:r>
    </w:p>
    <w:p>
      <w:pPr>
        <w:spacing w:line="360" w:lineRule="auto"/>
        <w:ind w:firstLine="480" w:firstLineChars="200"/>
        <w:rPr>
          <w:rFonts w:ascii="宋体" w:hAnsi="宋体"/>
          <w:color w:val="000000"/>
          <w:sz w:val="24"/>
        </w:rPr>
      </w:pPr>
      <w:r>
        <w:rPr>
          <w:rFonts w:hint="eastAsia" w:ascii="宋体" w:hAnsi="宋体"/>
          <w:color w:val="000000"/>
          <w:sz w:val="24"/>
        </w:rPr>
        <w:t>5.第5行“其中：按税收规定比例扣除的职工教育经费”：适用于按照税收规定职工教育经费按比例税前扣除的纳税人填报，具体如下：</w:t>
      </w:r>
    </w:p>
    <w:p>
      <w:pPr>
        <w:spacing w:line="360" w:lineRule="auto"/>
        <w:ind w:firstLine="480" w:firstLineChars="200"/>
        <w:rPr>
          <w:rFonts w:ascii="宋体" w:hAnsi="宋体"/>
          <w:color w:val="000000"/>
          <w:sz w:val="24"/>
        </w:rPr>
      </w:pPr>
      <w:r>
        <w:rPr>
          <w:rFonts w:hint="eastAsia" w:ascii="宋体" w:hAnsi="宋体"/>
          <w:color w:val="000000"/>
          <w:sz w:val="24"/>
        </w:rPr>
        <w:t>（1）第1列“账载金额”填报纳税人会计核算计入成本费用的金额，不包括第6行可全额扣除的职工培训费用金额。</w:t>
      </w:r>
    </w:p>
    <w:p>
      <w:pPr>
        <w:spacing w:line="360" w:lineRule="auto"/>
        <w:ind w:firstLine="480" w:firstLineChars="200"/>
        <w:rPr>
          <w:rFonts w:ascii="宋体" w:hAnsi="宋体"/>
          <w:color w:val="000000"/>
          <w:sz w:val="24"/>
        </w:rPr>
      </w:pPr>
      <w:r>
        <w:rPr>
          <w:rFonts w:hint="eastAsia" w:ascii="宋体" w:hAnsi="宋体"/>
          <w:color w:val="000000"/>
          <w:sz w:val="24"/>
        </w:rPr>
        <w:t>（2）第2列“实际发生额”：分析填报纳税人“应付职工薪酬”会计科目下的职工教育经费实际发生额，不包括第6行可全额扣除的职工培训费用金额。</w:t>
      </w:r>
    </w:p>
    <w:p>
      <w:pPr>
        <w:spacing w:line="360" w:lineRule="auto"/>
        <w:ind w:firstLine="480" w:firstLineChars="200"/>
        <w:rPr>
          <w:rFonts w:ascii="宋体" w:hAnsi="宋体"/>
          <w:color w:val="000000"/>
          <w:sz w:val="24"/>
        </w:rPr>
      </w:pPr>
      <w:r>
        <w:rPr>
          <w:rFonts w:hint="eastAsia" w:ascii="宋体" w:hAnsi="宋体"/>
          <w:color w:val="000000"/>
          <w:sz w:val="24"/>
        </w:rPr>
        <w:t>（3）第3列“税收规定扣除率”：填报税收规定的扣除比例。</w:t>
      </w:r>
    </w:p>
    <w:p>
      <w:pPr>
        <w:spacing w:line="360" w:lineRule="auto"/>
        <w:ind w:firstLine="480" w:firstLineChars="200"/>
        <w:rPr>
          <w:rFonts w:ascii="宋体" w:hAnsi="宋体"/>
          <w:color w:val="000000"/>
          <w:sz w:val="24"/>
        </w:rPr>
      </w:pPr>
      <w:r>
        <w:rPr>
          <w:rFonts w:hint="eastAsia" w:ascii="宋体" w:hAnsi="宋体"/>
          <w:color w:val="000000"/>
          <w:sz w:val="24"/>
        </w:rPr>
        <w:t>（4）第4列“以前年度累计结转扣除额”：填报纳税人以前年度累计结转准予扣除的职工教育经费支出余额。</w:t>
      </w:r>
    </w:p>
    <w:p>
      <w:pPr>
        <w:spacing w:line="360" w:lineRule="auto"/>
        <w:ind w:firstLine="480" w:firstLineChars="200"/>
        <w:rPr>
          <w:rFonts w:ascii="宋体" w:hAnsi="宋体"/>
          <w:color w:val="000000"/>
          <w:sz w:val="24"/>
        </w:rPr>
      </w:pPr>
      <w:r>
        <w:rPr>
          <w:rFonts w:hint="eastAsia" w:ascii="宋体" w:hAnsi="宋体"/>
          <w:color w:val="000000"/>
          <w:sz w:val="24"/>
        </w:rPr>
        <w:t>（5）第5列“税收金额”：填报纳税人按照税收规定允许税前扣除的金额（不包括第6行可全额扣除的职工培训费用金额），按第1行第5列“工资薪金支出—税收金额”×扣除比例与本行第1+4列之和的孰小值填报。</w:t>
      </w:r>
    </w:p>
    <w:p>
      <w:pPr>
        <w:spacing w:line="360" w:lineRule="auto"/>
        <w:ind w:firstLine="480" w:firstLineChars="200"/>
        <w:rPr>
          <w:rFonts w:ascii="宋体" w:hAnsi="宋体"/>
          <w:color w:val="000000"/>
          <w:sz w:val="24"/>
        </w:rPr>
      </w:pPr>
      <w:r>
        <w:rPr>
          <w:rFonts w:hint="eastAsia" w:ascii="宋体" w:hAnsi="宋体"/>
          <w:color w:val="000000"/>
          <w:sz w:val="24"/>
        </w:rPr>
        <w:t>（6）第6列“纳税调整金额”：填报第1-5列的余额。</w:t>
      </w:r>
    </w:p>
    <w:p>
      <w:pPr>
        <w:spacing w:line="360" w:lineRule="auto"/>
        <w:ind w:firstLine="480" w:firstLineChars="200"/>
        <w:rPr>
          <w:rFonts w:ascii="宋体" w:hAnsi="宋体"/>
          <w:color w:val="000000"/>
          <w:sz w:val="24"/>
        </w:rPr>
      </w:pPr>
      <w:r>
        <w:rPr>
          <w:rFonts w:hint="eastAsia" w:ascii="宋体" w:hAnsi="宋体"/>
          <w:color w:val="000000"/>
          <w:sz w:val="24"/>
        </w:rPr>
        <w:t>（7）第7列“累计结转以后年度扣除额”：填报第1+4-5列的金额。</w:t>
      </w:r>
    </w:p>
    <w:p>
      <w:pPr>
        <w:spacing w:line="360" w:lineRule="auto"/>
        <w:ind w:firstLine="480" w:firstLineChars="200"/>
        <w:rPr>
          <w:rFonts w:ascii="宋体" w:hAnsi="宋体"/>
          <w:color w:val="000000"/>
          <w:sz w:val="24"/>
        </w:rPr>
      </w:pPr>
      <w:r>
        <w:rPr>
          <w:rFonts w:hint="eastAsia" w:ascii="宋体" w:hAnsi="宋体"/>
          <w:color w:val="000000"/>
          <w:sz w:val="24"/>
        </w:rPr>
        <w:t>6.第6行“其中：按税收规定全额扣除的职工培训费用”：适用于按照税收规定职工培训费用允许全额税前扣除的纳税人填报，具体如下：</w:t>
      </w:r>
    </w:p>
    <w:p>
      <w:pPr>
        <w:spacing w:line="360" w:lineRule="auto"/>
        <w:ind w:firstLine="480" w:firstLineChars="200"/>
        <w:rPr>
          <w:rFonts w:ascii="宋体" w:hAnsi="宋体"/>
          <w:color w:val="000000"/>
          <w:sz w:val="24"/>
        </w:rPr>
      </w:pPr>
      <w:r>
        <w:rPr>
          <w:rFonts w:hint="eastAsia" w:ascii="宋体" w:hAnsi="宋体"/>
          <w:color w:val="000000"/>
          <w:sz w:val="24"/>
        </w:rPr>
        <w:t>（1）第1列“账载金额”：填报纳税人会计核算计入成本费用。</w:t>
      </w:r>
    </w:p>
    <w:p>
      <w:pPr>
        <w:spacing w:line="360" w:lineRule="auto"/>
        <w:ind w:firstLine="480" w:firstLineChars="200"/>
        <w:rPr>
          <w:rFonts w:ascii="宋体" w:hAnsi="宋体"/>
          <w:color w:val="000000"/>
          <w:sz w:val="24"/>
        </w:rPr>
      </w:pPr>
      <w:r>
        <w:rPr>
          <w:rFonts w:hint="eastAsia" w:ascii="宋体" w:hAnsi="宋体"/>
          <w:color w:val="000000"/>
          <w:sz w:val="24"/>
        </w:rPr>
        <w:t>（2）第2列“实际发生额”：分析填报纳税人“应付职工薪酬”会计科目下的职工教育经费本年实际发生额（可全额扣除的职工培训费用金额）。</w:t>
      </w:r>
    </w:p>
    <w:p>
      <w:pPr>
        <w:pStyle w:val="9"/>
      </w:pPr>
      <w:r>
        <w:rPr>
          <w:rFonts w:hint="eastAsia"/>
        </w:rPr>
        <w:t>（3）第3列“税收规定扣除率”：填报税收规定的扣除比例（100%）。</w:t>
      </w:r>
    </w:p>
    <w:p>
      <w:pPr>
        <w:pStyle w:val="9"/>
      </w:pPr>
      <w:r>
        <w:rPr>
          <w:rFonts w:hint="eastAsia"/>
        </w:rPr>
        <w:t>（4）第5列“税收金额”：填报按照税收规定允许税前扣除的金额。</w:t>
      </w:r>
    </w:p>
    <w:p>
      <w:pPr>
        <w:pStyle w:val="9"/>
      </w:pPr>
      <w:r>
        <w:rPr>
          <w:rFonts w:hint="eastAsia"/>
        </w:rPr>
        <w:t>（5）第6列“纳税调整金额”：填报第1-5列的余额。</w:t>
      </w:r>
    </w:p>
    <w:p>
      <w:pPr>
        <w:pStyle w:val="9"/>
      </w:pPr>
      <w:r>
        <w:rPr>
          <w:rFonts w:hint="eastAsia"/>
        </w:rPr>
        <w:t>7.第7行“四、工会经费支出”：填报纳税人本年度拨缴工会经费及其会计核算、纳税调整等金额，具体如下：</w:t>
      </w:r>
    </w:p>
    <w:p>
      <w:pPr>
        <w:pStyle w:val="9"/>
      </w:pPr>
      <w:r>
        <w:rPr>
          <w:rFonts w:hint="eastAsia"/>
        </w:rPr>
        <w:t>（1）第1列“账载金额”：填报纳税人会计核算计入成本费用的工会经费支出金额；</w:t>
      </w:r>
    </w:p>
    <w:p>
      <w:pPr>
        <w:pStyle w:val="9"/>
      </w:pPr>
      <w:r>
        <w:rPr>
          <w:rFonts w:hint="eastAsia"/>
        </w:rPr>
        <w:t>（2）第2列“实际发生额”：分析填报纳税人“应付职工薪酬”会计科目下的工会经费本年实际发生额。</w:t>
      </w:r>
    </w:p>
    <w:p>
      <w:pPr>
        <w:pStyle w:val="9"/>
      </w:pPr>
      <w:r>
        <w:rPr>
          <w:rFonts w:hint="eastAsia"/>
        </w:rPr>
        <w:t>（3）第3列“税收规定扣除率”：填报税收规定的扣除比例（2%）。</w:t>
      </w:r>
    </w:p>
    <w:p>
      <w:pPr>
        <w:pStyle w:val="9"/>
      </w:pPr>
      <w:r>
        <w:rPr>
          <w:rFonts w:hint="eastAsia"/>
        </w:rPr>
        <w:t>（4）第5列“税收金额”：填报按照税收规定允许税前扣除的金额，按第1行第5列“工资薪金支出/税收金额”×2%与本行第1列、本行第2列三者孰小值填报。</w:t>
      </w:r>
    </w:p>
    <w:p>
      <w:pPr>
        <w:pStyle w:val="9"/>
      </w:pPr>
      <w:r>
        <w:rPr>
          <w:rFonts w:hint="eastAsia"/>
        </w:rPr>
        <w:t>（5）第6列“纳税调整金额”：填报第1-5列的余额。</w:t>
      </w:r>
    </w:p>
    <w:p>
      <w:pPr>
        <w:pStyle w:val="9"/>
      </w:pPr>
      <w:r>
        <w:rPr>
          <w:rFonts w:hint="eastAsia"/>
        </w:rPr>
        <w:t>8.第8行“五、各类基本社会保障性缴款”：填报纳税人依照国务院有关主管部门或者省级人民政府规定的范围和标准为职工缴纳的基本社会保险费及其会计核算、纳税调整金额，具体如下：</w:t>
      </w:r>
    </w:p>
    <w:p>
      <w:pPr>
        <w:pStyle w:val="9"/>
      </w:pPr>
      <w:r>
        <w:rPr>
          <w:rFonts w:hint="eastAsia"/>
        </w:rPr>
        <w:t>（1）第1列“账载金额”：填报纳税人会计核算的各类基本社会保障性缴款的金额。</w:t>
      </w:r>
    </w:p>
    <w:p>
      <w:pPr>
        <w:pStyle w:val="9"/>
      </w:pPr>
      <w:r>
        <w:rPr>
          <w:rFonts w:hint="eastAsia"/>
        </w:rPr>
        <w:t>（2）第2列“实际发生额”：分析填报纳税人“应付职工薪酬”会计科目下的各类基本社会保障性缴款本年实际发生额。</w:t>
      </w:r>
    </w:p>
    <w:p>
      <w:pPr>
        <w:pStyle w:val="9"/>
      </w:pPr>
      <w:r>
        <w:rPr>
          <w:rFonts w:hint="eastAsia"/>
        </w:rPr>
        <w:t>（3）第5列“税收金额”：填报按照税收规定允许税前扣除的各类基本社会保障性缴款的金额，按本行第1列、第2列以及税收规定允许税前扣除的各类基本社会保障性缴款的金额孰小值填报。</w:t>
      </w:r>
    </w:p>
    <w:p>
      <w:pPr>
        <w:pStyle w:val="9"/>
      </w:pPr>
      <w:r>
        <w:rPr>
          <w:rFonts w:hint="eastAsia"/>
        </w:rPr>
        <w:t>（4）第6列“纳税调整金额”：填报第1-5列的余额。</w:t>
      </w:r>
    </w:p>
    <w:p>
      <w:pPr>
        <w:pStyle w:val="9"/>
      </w:pPr>
      <w:r>
        <w:rPr>
          <w:rFonts w:hint="eastAsia"/>
        </w:rPr>
        <w:t>9.第9行“六、住房公积金”：填报纳税人依照国务院有关主管部门或者省级人民政府规定的范围和标准为职工缴纳的住房公积金及其会计核算、纳税调整金额，具体如下：</w:t>
      </w:r>
    </w:p>
    <w:p>
      <w:pPr>
        <w:pStyle w:val="9"/>
      </w:pPr>
      <w:r>
        <w:rPr>
          <w:rFonts w:hint="eastAsia"/>
        </w:rPr>
        <w:t>（1）第1列“账载金额”：填报纳税人会计核算的住房公积金金额。</w:t>
      </w:r>
    </w:p>
    <w:p>
      <w:pPr>
        <w:pStyle w:val="9"/>
      </w:pPr>
      <w:r>
        <w:rPr>
          <w:rFonts w:hint="eastAsia"/>
        </w:rPr>
        <w:t>（2）第2列“实际发生额”：分析填报纳税人“应付职工薪酬”会计科目下的住房公积金本年实际发生额。</w:t>
      </w:r>
    </w:p>
    <w:p>
      <w:pPr>
        <w:pStyle w:val="9"/>
      </w:pPr>
      <w:r>
        <w:rPr>
          <w:rFonts w:hint="eastAsia"/>
        </w:rPr>
        <w:t>（3）第5列“税收金额”：填报按照税收规定允许税前扣除的住房公积金金额，按本行第1列、第2列以及税收规定允许税前扣除的住房公积金的金额孰小值填报。</w:t>
      </w:r>
    </w:p>
    <w:p>
      <w:pPr>
        <w:pStyle w:val="9"/>
      </w:pPr>
      <w:r>
        <w:rPr>
          <w:rFonts w:hint="eastAsia"/>
        </w:rPr>
        <w:t>（4）第6列“纳税调整金额”：填报第1-5列的余额。</w:t>
      </w:r>
    </w:p>
    <w:p>
      <w:pPr>
        <w:pStyle w:val="9"/>
      </w:pPr>
      <w:r>
        <w:rPr>
          <w:rFonts w:hint="eastAsia"/>
        </w:rPr>
        <w:t>10.第10行“七、补充养老保险”：填报纳税人为投资者或者职工支付的补充养老保险费的会计核算、纳税调整金额，具体如下：</w:t>
      </w:r>
    </w:p>
    <w:p>
      <w:pPr>
        <w:pStyle w:val="9"/>
      </w:pPr>
      <w:r>
        <w:rPr>
          <w:rFonts w:hint="eastAsia"/>
        </w:rPr>
        <w:t>（1）第1列“账载金额”：填报纳税人会计核算的补充养老保险金额。</w:t>
      </w:r>
    </w:p>
    <w:p>
      <w:pPr>
        <w:pStyle w:val="9"/>
      </w:pPr>
      <w:r>
        <w:rPr>
          <w:rFonts w:hint="eastAsia"/>
        </w:rPr>
        <w:t>（2）第2列“实际发生额”：分析填报纳税人“应付职工薪酬”会计科目下的补充养老保险本年实际发生额。</w:t>
      </w:r>
    </w:p>
    <w:p>
      <w:pPr>
        <w:pStyle w:val="9"/>
      </w:pPr>
      <w:r>
        <w:rPr>
          <w:rFonts w:hint="eastAsia"/>
        </w:rPr>
        <w:t>（3）第3列“税收规定扣除率”：填报税收规定的扣除比例（5%）。</w:t>
      </w:r>
    </w:p>
    <w:p>
      <w:pPr>
        <w:pStyle w:val="9"/>
      </w:pPr>
      <w:r>
        <w:rPr>
          <w:rFonts w:hint="eastAsia"/>
        </w:rPr>
        <w:t>（4）第5列“税收金额”：填报按照税收规定允许税前扣除的补充养老保险的金额，按第1行第5列“工资薪金支出/税收金额”×5%、本行第1列、本行第2列的孰小值填报。</w:t>
      </w:r>
    </w:p>
    <w:p>
      <w:pPr>
        <w:pStyle w:val="9"/>
      </w:pPr>
      <w:r>
        <w:rPr>
          <w:rFonts w:hint="eastAsia"/>
        </w:rPr>
        <w:t>（5）第6列“纳税调整金额”：填报第1-5列的余额。</w:t>
      </w:r>
    </w:p>
    <w:p>
      <w:pPr>
        <w:pStyle w:val="9"/>
      </w:pPr>
      <w:r>
        <w:rPr>
          <w:rFonts w:hint="eastAsia"/>
        </w:rPr>
        <w:t>11.第11行“八、补充医疗保险”：填报纳税人为投资者或者职工支付的补充医疗保险费的会计核算、纳税调整金额，具体如下：</w:t>
      </w:r>
    </w:p>
    <w:p>
      <w:pPr>
        <w:pStyle w:val="9"/>
      </w:pPr>
      <w:r>
        <w:rPr>
          <w:rFonts w:hint="eastAsia"/>
        </w:rPr>
        <w:t>（1）第1列“账载金额”：填报纳税人会计核算的补充医疗保险金额。</w:t>
      </w:r>
    </w:p>
    <w:p>
      <w:pPr>
        <w:pStyle w:val="9"/>
      </w:pPr>
      <w:r>
        <w:rPr>
          <w:rFonts w:hint="eastAsia"/>
        </w:rPr>
        <w:t>（2）第2列“实际发生额”：分析填报纳税人“应付职工薪酬”会计科目下的补充医疗保险本年实际发生额。</w:t>
      </w:r>
    </w:p>
    <w:p>
      <w:pPr>
        <w:pStyle w:val="9"/>
      </w:pPr>
      <w:r>
        <w:rPr>
          <w:rFonts w:hint="eastAsia"/>
        </w:rPr>
        <w:t>（3）第3列“税收规定扣除率”：填报税收规定的扣除比例（5%）。</w:t>
      </w:r>
    </w:p>
    <w:p>
      <w:pPr>
        <w:pStyle w:val="9"/>
      </w:pPr>
      <w:r>
        <w:rPr>
          <w:rFonts w:hint="eastAsia"/>
        </w:rPr>
        <w:t>（4）第5列“税收金额”：填报按照税收规定允许税前扣除的补充医疗保险的金额，按第1行第5列“工资薪金支出/税收金额”×5%、本行第1列、本行第2列的孰小值填报。</w:t>
      </w:r>
    </w:p>
    <w:p>
      <w:pPr>
        <w:pStyle w:val="9"/>
      </w:pPr>
      <w:r>
        <w:rPr>
          <w:rFonts w:hint="eastAsia"/>
        </w:rPr>
        <w:t>（5）第6列“纳税调整金额”：填报第1-5列的余额。</w:t>
      </w:r>
    </w:p>
    <w:p>
      <w:pPr>
        <w:pStyle w:val="9"/>
      </w:pPr>
      <w:r>
        <w:rPr>
          <w:rFonts w:hint="eastAsia"/>
        </w:rPr>
        <w:t>12</w:t>
      </w:r>
      <w:r>
        <w:t>.</w:t>
      </w:r>
      <w:r>
        <w:rPr>
          <w:rFonts w:hint="eastAsia"/>
        </w:rPr>
        <w:t>第12行“九、其他”：填报其他职工薪酬的金额。</w:t>
      </w:r>
    </w:p>
    <w:p>
      <w:pPr>
        <w:pStyle w:val="9"/>
      </w:pPr>
      <w:r>
        <w:rPr>
          <w:rFonts w:hint="eastAsia"/>
        </w:rPr>
        <w:t>1</w:t>
      </w:r>
      <w:r>
        <w:t>3</w:t>
      </w:r>
      <w:r>
        <w:rPr>
          <w:rFonts w:hint="eastAsia"/>
        </w:rPr>
        <w:t>.第13行“合计”：填报第1+3+4+7+8+9+10+11+12行的合计金额。</w:t>
      </w:r>
    </w:p>
    <w:p>
      <w:pPr>
        <w:pStyle w:val="11"/>
        <w:ind w:firstLine="482"/>
      </w:pPr>
      <w:r>
        <w:rPr>
          <w:rFonts w:hint="eastAsia"/>
        </w:rPr>
        <w:t>二、表内、表间关系</w:t>
      </w:r>
    </w:p>
    <w:p>
      <w:pPr>
        <w:pStyle w:val="12"/>
      </w:pPr>
      <w:r>
        <w:rPr>
          <w:rFonts w:hint="eastAsia"/>
        </w:rPr>
        <w:t>（一）表内关系</w:t>
      </w:r>
    </w:p>
    <w:p>
      <w:pPr>
        <w:pStyle w:val="9"/>
        <w:rPr>
          <w:color w:val="000000"/>
        </w:rPr>
      </w:pPr>
      <w:r>
        <w:rPr>
          <w:rFonts w:hint="eastAsia"/>
          <w:color w:val="000000"/>
        </w:rPr>
        <w:t>1.第4行＝第5行或第5+6行。</w:t>
      </w:r>
    </w:p>
    <w:p>
      <w:pPr>
        <w:pStyle w:val="9"/>
        <w:rPr>
          <w:color w:val="000000"/>
        </w:rPr>
      </w:pPr>
      <w:r>
        <w:rPr>
          <w:color w:val="000000"/>
        </w:rPr>
        <w:t>2</w:t>
      </w:r>
      <w:r>
        <w:rPr>
          <w:rFonts w:hint="eastAsia"/>
          <w:color w:val="000000"/>
        </w:rPr>
        <w:t>.第1</w:t>
      </w:r>
      <w:r>
        <w:rPr>
          <w:color w:val="000000"/>
        </w:rPr>
        <w:t>3</w:t>
      </w:r>
      <w:r>
        <w:rPr>
          <w:rFonts w:hint="eastAsia"/>
          <w:color w:val="000000"/>
        </w:rPr>
        <w:t>行＝第1+3+4+7+8+9+10+11+12行。</w:t>
      </w:r>
    </w:p>
    <w:p>
      <w:pPr>
        <w:pStyle w:val="9"/>
        <w:rPr>
          <w:color w:val="000000"/>
        </w:rPr>
      </w:pPr>
      <w:r>
        <w:rPr>
          <w:color w:val="000000"/>
        </w:rPr>
        <w:t>3</w:t>
      </w:r>
      <w:r>
        <w:rPr>
          <w:rFonts w:hint="eastAsia"/>
          <w:color w:val="000000"/>
        </w:rPr>
        <w:t>.第6列＝第1-5列。</w:t>
      </w:r>
    </w:p>
    <w:p>
      <w:pPr>
        <w:pStyle w:val="9"/>
        <w:rPr>
          <w:color w:val="000000"/>
        </w:rPr>
      </w:pPr>
      <w:r>
        <w:rPr>
          <w:color w:val="000000"/>
        </w:rPr>
        <w:t>4</w:t>
      </w:r>
      <w:r>
        <w:rPr>
          <w:rFonts w:hint="eastAsia"/>
          <w:color w:val="000000"/>
        </w:rPr>
        <w:t>.第7列＝第1+4-5列。</w:t>
      </w:r>
    </w:p>
    <w:p>
      <w:pPr>
        <w:pStyle w:val="12"/>
        <w:rPr>
          <w:color w:val="000000"/>
        </w:rPr>
      </w:pPr>
      <w:r>
        <w:rPr>
          <w:rFonts w:hint="eastAsia"/>
          <w:color w:val="000000"/>
        </w:rPr>
        <w:t>（二）表间关系</w:t>
      </w:r>
    </w:p>
    <w:p>
      <w:pPr>
        <w:pStyle w:val="9"/>
        <w:rPr>
          <w:color w:val="000000"/>
        </w:rPr>
      </w:pPr>
      <w:r>
        <w:rPr>
          <w:rFonts w:hint="eastAsia"/>
          <w:color w:val="000000"/>
        </w:rPr>
        <w:t>1.第1</w:t>
      </w:r>
      <w:r>
        <w:rPr>
          <w:color w:val="000000"/>
        </w:rPr>
        <w:t>3</w:t>
      </w:r>
      <w:r>
        <w:rPr>
          <w:rFonts w:hint="eastAsia"/>
          <w:color w:val="000000"/>
        </w:rPr>
        <w:t>行第1列＝表A105000第14行第1列。</w:t>
      </w:r>
    </w:p>
    <w:p>
      <w:pPr>
        <w:pStyle w:val="9"/>
        <w:rPr>
          <w:color w:val="000000"/>
        </w:rPr>
      </w:pPr>
      <w:r>
        <w:rPr>
          <w:rFonts w:hint="eastAsia"/>
          <w:color w:val="000000"/>
        </w:rPr>
        <w:t>2.第1</w:t>
      </w:r>
      <w:r>
        <w:rPr>
          <w:color w:val="000000"/>
        </w:rPr>
        <w:t>3</w:t>
      </w:r>
      <w:r>
        <w:rPr>
          <w:rFonts w:hint="eastAsia"/>
          <w:color w:val="000000"/>
        </w:rPr>
        <w:t>行第5列＝表A105000第14行第2列。</w:t>
      </w:r>
    </w:p>
    <w:p>
      <w:pPr>
        <w:pStyle w:val="9"/>
        <w:rPr>
          <w:color w:val="000000"/>
        </w:rPr>
        <w:sectPr>
          <w:pgSz w:w="11906" w:h="16838"/>
          <w:pgMar w:top="1985" w:right="1418" w:bottom="1928" w:left="1418" w:header="851" w:footer="992" w:gutter="113"/>
          <w:cols w:space="425" w:num="1"/>
          <w:docGrid w:linePitch="312" w:charSpace="0"/>
        </w:sectPr>
      </w:pPr>
      <w:r>
        <w:rPr>
          <w:rFonts w:hint="eastAsia"/>
          <w:color w:val="000000"/>
        </w:rPr>
        <w:t>3.若第1</w:t>
      </w:r>
      <w:r>
        <w:rPr>
          <w:color w:val="000000"/>
        </w:rPr>
        <w:t>3</w:t>
      </w:r>
      <w:r>
        <w:rPr>
          <w:rFonts w:hint="eastAsia"/>
          <w:color w:val="000000"/>
        </w:rPr>
        <w:t>行第6列≥0，第1</w:t>
      </w:r>
      <w:r>
        <w:rPr>
          <w:color w:val="000000"/>
        </w:rPr>
        <w:t>3</w:t>
      </w:r>
      <w:r>
        <w:rPr>
          <w:rFonts w:hint="eastAsia"/>
          <w:color w:val="000000"/>
        </w:rPr>
        <w:t>行第6列＝表A105000第14行第3列；若第1</w:t>
      </w:r>
      <w:r>
        <w:rPr>
          <w:color w:val="000000"/>
        </w:rPr>
        <w:t>3</w:t>
      </w:r>
      <w:r>
        <w:rPr>
          <w:rFonts w:hint="eastAsia"/>
          <w:color w:val="000000"/>
        </w:rPr>
        <w:t>行第6列＜0，第1</w:t>
      </w:r>
      <w:r>
        <w:rPr>
          <w:color w:val="000000"/>
        </w:rPr>
        <w:t>3</w:t>
      </w:r>
      <w:r>
        <w:rPr>
          <w:rFonts w:hint="eastAsia"/>
          <w:color w:val="000000"/>
        </w:rPr>
        <w:t>行第6列的绝对值＝表A105000第14行第4列。</w:t>
      </w:r>
    </w:p>
    <w:p>
      <w:pPr>
        <w:pStyle w:val="10"/>
      </w:pPr>
      <w:bookmarkStart w:id="54" w:name="_Toc499456581"/>
      <w:r>
        <w:rPr>
          <w:rFonts w:hint="eastAsia"/>
        </w:rPr>
        <w:t>A105060</w:t>
      </w:r>
      <w:r>
        <w:tab/>
      </w:r>
      <w:r>
        <w:rPr>
          <w:rFonts w:hint="eastAsia"/>
        </w:rPr>
        <w:t>广告费和业务宣传费跨年度纳税调整明细表</w:t>
      </w:r>
      <w:bookmarkEnd w:id="54"/>
    </w:p>
    <w:p>
      <w:pPr/>
    </w:p>
    <w:tbl>
      <w:tblPr>
        <w:tblStyle w:val="7"/>
        <w:tblW w:w="976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7850"/>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7850" w:type="dxa"/>
            <w:shd w:val="clear" w:color="auto" w:fill="auto"/>
            <w:vAlign w:val="center"/>
          </w:tcPr>
          <w:p>
            <w:pPr>
              <w:widowControl/>
              <w:jc w:val="center"/>
              <w:rPr>
                <w:rFonts w:ascii="宋体" w:hAnsi="宋体" w:cs="宋体"/>
                <w:kern w:val="0"/>
                <w:sz w:val="20"/>
                <w:szCs w:val="20"/>
              </w:rPr>
            </w:pPr>
            <w:r>
              <w:rPr>
                <w:rFonts w:hint="eastAsia" w:ascii="宋体" w:hAnsi="宋体" w:cs="宋体"/>
                <w:spacing w:val="500"/>
                <w:kern w:val="0"/>
                <w:sz w:val="20"/>
                <w:szCs w:val="20"/>
                <w:fitText w:val="1400" w:id="8"/>
              </w:rPr>
              <w:t>项</w:t>
            </w:r>
            <w:r>
              <w:rPr>
                <w:rFonts w:hint="eastAsia" w:ascii="宋体" w:hAnsi="宋体" w:cs="宋体"/>
                <w:kern w:val="0"/>
                <w:sz w:val="20"/>
                <w:szCs w:val="20"/>
                <w:fitText w:val="1400" w:id="8"/>
              </w:rPr>
              <w:t>目</w:t>
            </w:r>
          </w:p>
        </w:tc>
        <w:tc>
          <w:tcPr>
            <w:tcW w:w="1276" w:type="dxa"/>
            <w:shd w:val="clear" w:color="auto" w:fill="auto"/>
            <w:vAlign w:val="center"/>
          </w:tcPr>
          <w:p>
            <w:pPr>
              <w:widowControl/>
              <w:jc w:val="center"/>
              <w:rPr>
                <w:rFonts w:ascii="宋体" w:hAnsi="宋体" w:cs="宋体"/>
                <w:kern w:val="0"/>
                <w:sz w:val="20"/>
                <w:szCs w:val="20"/>
              </w:rPr>
            </w:pPr>
            <w:r>
              <w:rPr>
                <w:rFonts w:hint="eastAsia" w:ascii="宋体" w:hAnsi="宋体" w:cs="宋体"/>
                <w:spacing w:val="200"/>
                <w:kern w:val="0"/>
                <w:sz w:val="20"/>
                <w:szCs w:val="20"/>
                <w:fitText w:val="800" w:id="9"/>
              </w:rPr>
              <w:t>金</w:t>
            </w:r>
            <w:r>
              <w:rPr>
                <w:rFonts w:hint="eastAsia" w:ascii="宋体" w:hAnsi="宋体" w:cs="宋体"/>
                <w:kern w:val="0"/>
                <w:sz w:val="20"/>
                <w:szCs w:val="20"/>
                <w:fitText w:val="800" w:id="9"/>
              </w:rPr>
              <w:t>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85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一、本年广告费和业务宣传费支出</w:t>
            </w:r>
          </w:p>
        </w:tc>
        <w:tc>
          <w:tcPr>
            <w:tcW w:w="12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785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减：不允许扣除的广告费和业务宣传费支出</w:t>
            </w:r>
          </w:p>
        </w:tc>
        <w:tc>
          <w:tcPr>
            <w:tcW w:w="12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785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二、本年符合条件的广告费和业务宣传费支出（1-2）</w:t>
            </w:r>
          </w:p>
        </w:tc>
        <w:tc>
          <w:tcPr>
            <w:tcW w:w="12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785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三、本年计算广告费和业务宣传费扣除限额的销售（营业）收入</w:t>
            </w:r>
          </w:p>
        </w:tc>
        <w:tc>
          <w:tcPr>
            <w:tcW w:w="12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7850" w:type="dxa"/>
            <w:shd w:val="clear" w:color="auto" w:fill="auto"/>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乘：税收规定扣除率</w:t>
            </w:r>
          </w:p>
        </w:tc>
        <w:tc>
          <w:tcPr>
            <w:tcW w:w="12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785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四、本企业计算的广告费和业务宣传费扣除限额（4×5）</w:t>
            </w:r>
          </w:p>
        </w:tc>
        <w:tc>
          <w:tcPr>
            <w:tcW w:w="12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785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五、本年结转以后年度扣除额（3＞6，本行=3-6；3≤6，本行=0）</w:t>
            </w:r>
          </w:p>
        </w:tc>
        <w:tc>
          <w:tcPr>
            <w:tcW w:w="12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7850" w:type="dxa"/>
            <w:shd w:val="clear" w:color="auto" w:fill="auto"/>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加：以前年度累计结转扣除额</w:t>
            </w:r>
          </w:p>
        </w:tc>
        <w:tc>
          <w:tcPr>
            <w:tcW w:w="12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785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减：本年扣除的以前年度结转额[3＞6，本行=0；3≤6，本行=8与（6-3）孰小值]</w:t>
            </w:r>
          </w:p>
        </w:tc>
        <w:tc>
          <w:tcPr>
            <w:tcW w:w="12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785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六、按照分摊协议归集至其他关联方的广告费和业务宣传费（10≤3与6孰小值）</w:t>
            </w:r>
          </w:p>
        </w:tc>
        <w:tc>
          <w:tcPr>
            <w:tcW w:w="12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785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按照分摊协议从其他关联方归集至本企业的广告费和业务宣传费</w:t>
            </w:r>
          </w:p>
        </w:tc>
        <w:tc>
          <w:tcPr>
            <w:tcW w:w="12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785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七、本年广告费和业务宣传费支出纳税调整金额</w:t>
            </w:r>
            <w:r>
              <w:rPr>
                <w:rFonts w:ascii="宋体" w:hAnsi="宋体" w:cs="宋体"/>
                <w:kern w:val="0"/>
                <w:sz w:val="20"/>
                <w:szCs w:val="20"/>
              </w:rPr>
              <w:br w:type="textWrapping"/>
            </w:r>
            <w:r>
              <w:rPr>
                <w:rFonts w:hint="eastAsia" w:ascii="宋体" w:hAnsi="宋体" w:cs="宋体"/>
                <w:kern w:val="0"/>
                <w:sz w:val="20"/>
                <w:szCs w:val="20"/>
              </w:rPr>
              <w:t>（3＞6，本行=2+3-6+10-11；3≤6，本行=2+10-11-9）</w:t>
            </w:r>
          </w:p>
        </w:tc>
        <w:tc>
          <w:tcPr>
            <w:tcW w:w="12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785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八、累计结转以后年度扣除额（7+8-9）</w:t>
            </w:r>
          </w:p>
        </w:tc>
        <w:tc>
          <w:tcPr>
            <w:tcW w:w="12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sectPr>
          <w:pgSz w:w="11906" w:h="16838"/>
          <w:pgMar w:top="1985" w:right="1418" w:bottom="1928" w:left="1418" w:header="851" w:footer="992" w:gutter="113"/>
          <w:cols w:space="425" w:num="1"/>
          <w:docGrid w:linePitch="312" w:charSpace="0"/>
        </w:sectPr>
      </w:pPr>
    </w:p>
    <w:p>
      <w:pPr>
        <w:pStyle w:val="8"/>
        <w:spacing w:before="240" w:after="360"/>
        <w:rPr>
          <w:color w:val="000000"/>
        </w:rPr>
      </w:pPr>
      <w:bookmarkStart w:id="55" w:name="_Toc499456582"/>
      <w:r>
        <w:rPr>
          <w:rFonts w:hint="eastAsia"/>
          <w:color w:val="000000"/>
        </w:rPr>
        <w:t>A105060</w:t>
      </w:r>
      <w:r>
        <w:rPr>
          <w:color w:val="000000"/>
        </w:rPr>
        <w:tab/>
      </w:r>
      <w:r>
        <w:rPr>
          <w:rFonts w:hint="eastAsia"/>
          <w:color w:val="000000"/>
        </w:rPr>
        <w:t>《广告费和业务宣传费跨年度纳税调整明细表》填报说明</w:t>
      </w:r>
      <w:bookmarkEnd w:id="55"/>
    </w:p>
    <w:p>
      <w:pPr>
        <w:pStyle w:val="9"/>
        <w:rPr>
          <w:color w:val="000000"/>
        </w:rPr>
      </w:pPr>
      <w:r>
        <w:rPr>
          <w:rFonts w:hint="eastAsia"/>
          <w:color w:val="000000"/>
        </w:rPr>
        <w:t>本表适用于发生广告费和业务宣传费纳税调整项目（含广告费和业务宣传费结转）的纳税人填报。纳税人根据税法、《财政部 国家税务总局关于广告费和业务宣传费支出税前扣除政策的通知》（财税〔2012〕48号）等相关规定，以及国家统一企业会计制度，填报广告费和业务宣传费会计处理、税收规定，以及跨年度纳税调整情况。</w:t>
      </w:r>
    </w:p>
    <w:p>
      <w:pPr>
        <w:pStyle w:val="11"/>
        <w:ind w:firstLine="482"/>
      </w:pPr>
      <w:r>
        <w:rPr>
          <w:rFonts w:hint="eastAsia"/>
        </w:rPr>
        <w:t>一、有关项目填报说明</w:t>
      </w:r>
    </w:p>
    <w:p>
      <w:pPr>
        <w:pStyle w:val="9"/>
        <w:rPr>
          <w:color w:val="000000"/>
        </w:rPr>
      </w:pPr>
      <w:r>
        <w:rPr>
          <w:rFonts w:hint="eastAsia"/>
          <w:color w:val="000000"/>
        </w:rPr>
        <w:t>1.第1行“一、本年广告费和业务宣传费支出”：填报纳税人会计核算计入本年损益的广告费和业务宣传费用金额。</w:t>
      </w:r>
    </w:p>
    <w:p>
      <w:pPr>
        <w:pStyle w:val="9"/>
        <w:rPr>
          <w:color w:val="000000"/>
        </w:rPr>
      </w:pPr>
      <w:r>
        <w:rPr>
          <w:rFonts w:hint="eastAsia"/>
          <w:color w:val="000000"/>
        </w:rPr>
        <w:t>2.第2行“减：不允许扣除的广告费和业务宣传费支出”：填报税收规定不允许扣除的广告费和业务宣传费支出金额。</w:t>
      </w:r>
    </w:p>
    <w:p>
      <w:pPr>
        <w:pStyle w:val="9"/>
        <w:rPr>
          <w:color w:val="000000"/>
        </w:rPr>
      </w:pPr>
      <w:r>
        <w:rPr>
          <w:rFonts w:hint="eastAsia"/>
          <w:color w:val="000000"/>
        </w:rPr>
        <w:t>3.第3行“二、本年符合条件的广告费和业务宣传费支出”：填报第1-2行的余额。</w:t>
      </w:r>
    </w:p>
    <w:p>
      <w:pPr>
        <w:pStyle w:val="9"/>
        <w:rPr>
          <w:color w:val="000000"/>
        </w:rPr>
      </w:pPr>
      <w:r>
        <w:rPr>
          <w:rFonts w:hint="eastAsia"/>
          <w:color w:val="000000"/>
        </w:rPr>
        <w:t>4.第4行“三、本年计算广告费和业务宣传费扣除限额的销售（营业）收入”：填报按照税收规定计算广告费和业务宣传费扣除限额的当年销售（营业）收入。</w:t>
      </w:r>
    </w:p>
    <w:p>
      <w:pPr>
        <w:pStyle w:val="9"/>
        <w:rPr>
          <w:color w:val="000000"/>
        </w:rPr>
      </w:pPr>
      <w:r>
        <w:rPr>
          <w:rFonts w:hint="eastAsia"/>
          <w:color w:val="000000"/>
        </w:rPr>
        <w:t>5.第5行“税收规定扣除率”：填报税收规定的扣除比例。</w:t>
      </w:r>
    </w:p>
    <w:p>
      <w:pPr>
        <w:pStyle w:val="9"/>
        <w:rPr>
          <w:color w:val="000000"/>
        </w:rPr>
      </w:pPr>
      <w:r>
        <w:rPr>
          <w:rFonts w:hint="eastAsia"/>
          <w:color w:val="000000"/>
        </w:rPr>
        <w:t>6.第6行“四、本企业计算的广告费和业务宣传费扣除限额”：填报第4×5行的金额。</w:t>
      </w:r>
    </w:p>
    <w:p>
      <w:pPr>
        <w:pStyle w:val="9"/>
        <w:rPr>
          <w:color w:val="000000"/>
        </w:rPr>
      </w:pPr>
      <w:r>
        <w:rPr>
          <w:rFonts w:hint="eastAsia"/>
          <w:color w:val="000000"/>
        </w:rPr>
        <w:t>7.第7行“五、本年结转以后年度扣除额”：若第3行＞第6行,填报第3-6行的余额；若第3行≤第6行,填报0。</w:t>
      </w:r>
    </w:p>
    <w:p>
      <w:pPr>
        <w:pStyle w:val="9"/>
        <w:rPr>
          <w:color w:val="000000"/>
        </w:rPr>
      </w:pPr>
      <w:r>
        <w:rPr>
          <w:rFonts w:hint="eastAsia"/>
          <w:color w:val="000000"/>
        </w:rPr>
        <w:t>8.第8行“加：以前年度累计结转扣除额”：填报以前年度允许税前扣除但超过扣除限额未扣除、结转扣除的广告费和业务宣传费的金额。</w:t>
      </w:r>
    </w:p>
    <w:p>
      <w:pPr>
        <w:pStyle w:val="9"/>
        <w:rPr>
          <w:color w:val="000000"/>
        </w:rPr>
      </w:pPr>
      <w:r>
        <w:rPr>
          <w:rFonts w:hint="eastAsia"/>
          <w:color w:val="000000"/>
        </w:rPr>
        <w:t>9.第9行“减：本年扣除的以前年度结转额”：若第3行＞第6行,填0；若第3行≤第6行,填报第6-3行与第8行的孰小值。</w:t>
      </w:r>
    </w:p>
    <w:p>
      <w:pPr>
        <w:pStyle w:val="9"/>
        <w:rPr>
          <w:color w:val="000000"/>
        </w:rPr>
      </w:pPr>
      <w:r>
        <w:rPr>
          <w:rFonts w:hint="eastAsia"/>
          <w:color w:val="000000"/>
        </w:rPr>
        <w:t>10.第10行“六、按照分摊协议归集至其他关联方的广告费和业务宣传费”：填报签订广告费和业务宣传费分摊协议（以下简称分摊协议）的关联企业的一方，按照分摊协议，将其发生的不超过当年销售（营业）收入税前扣除限额比例内的广告费和业务宣传费支出归集至其他关联方扣除的广告费和业务宣传费，本行应≤第3行与第6行的孰小值。</w:t>
      </w:r>
    </w:p>
    <w:p>
      <w:pPr>
        <w:pStyle w:val="9"/>
        <w:rPr>
          <w:color w:val="000000"/>
        </w:rPr>
      </w:pPr>
      <w:r>
        <w:rPr>
          <w:rFonts w:hint="eastAsia"/>
          <w:color w:val="000000"/>
        </w:rPr>
        <w:t>11.第11行“按照分摊协议从其他关联方归集至本企业的广告费和业务宣传费”：填报签订广告费和业务宣传费分摊协议（以下简称分摊协议）的关联企业的一方，按照分摊协议，从其他关联方归集至本企业的广告费和业务宣传费。</w:t>
      </w:r>
    </w:p>
    <w:p>
      <w:pPr>
        <w:pStyle w:val="9"/>
        <w:rPr>
          <w:color w:val="000000"/>
        </w:rPr>
      </w:pPr>
      <w:r>
        <w:rPr>
          <w:rFonts w:hint="eastAsia"/>
          <w:color w:val="000000"/>
        </w:rPr>
        <w:t>12.第12行“七、本年广告费和业务宣传费支出纳税调整金额”：若第3行＞第6行,填报第2+3-6+10-11行的金额；若第3行≤第6行,填报第2+10-11-9行的金额。</w:t>
      </w:r>
    </w:p>
    <w:p>
      <w:pPr>
        <w:pStyle w:val="9"/>
        <w:rPr>
          <w:color w:val="000000"/>
        </w:rPr>
      </w:pPr>
      <w:r>
        <w:rPr>
          <w:rFonts w:hint="eastAsia"/>
          <w:color w:val="000000"/>
        </w:rPr>
        <w:t>13.第13行“八、累计结转以后年度扣除额”：填报第7+8-9行的金额。</w:t>
      </w:r>
    </w:p>
    <w:p>
      <w:pPr>
        <w:pStyle w:val="11"/>
        <w:ind w:firstLine="482"/>
      </w:pPr>
      <w:r>
        <w:rPr>
          <w:rFonts w:hint="eastAsia"/>
        </w:rPr>
        <w:t>二、表内、表间关系</w:t>
      </w:r>
    </w:p>
    <w:p>
      <w:pPr>
        <w:pStyle w:val="12"/>
      </w:pPr>
      <w:r>
        <w:rPr>
          <w:rFonts w:hint="eastAsia"/>
        </w:rPr>
        <w:t>（一）表内关系</w:t>
      </w:r>
    </w:p>
    <w:p>
      <w:pPr>
        <w:pStyle w:val="9"/>
        <w:rPr>
          <w:color w:val="000000"/>
        </w:rPr>
      </w:pPr>
      <w:r>
        <w:rPr>
          <w:rFonts w:hint="eastAsia"/>
          <w:color w:val="000000"/>
        </w:rPr>
        <w:t>1.第3行＝第1-2行。</w:t>
      </w:r>
    </w:p>
    <w:p>
      <w:pPr>
        <w:pStyle w:val="9"/>
        <w:rPr>
          <w:color w:val="000000"/>
        </w:rPr>
      </w:pPr>
      <w:r>
        <w:rPr>
          <w:rFonts w:hint="eastAsia"/>
          <w:color w:val="000000"/>
        </w:rPr>
        <w:t>2.第6行＝第4×5行。</w:t>
      </w:r>
    </w:p>
    <w:p>
      <w:pPr>
        <w:pStyle w:val="9"/>
        <w:rPr>
          <w:color w:val="000000"/>
        </w:rPr>
      </w:pPr>
      <w:r>
        <w:rPr>
          <w:rFonts w:hint="eastAsia"/>
          <w:color w:val="000000"/>
        </w:rPr>
        <w:t>3.若第3＞6行，第7行＝第3-6行；若第3≤6行,第7行＝0。</w:t>
      </w:r>
    </w:p>
    <w:p>
      <w:pPr>
        <w:pStyle w:val="9"/>
        <w:rPr>
          <w:color w:val="000000"/>
        </w:rPr>
      </w:pPr>
      <w:r>
        <w:rPr>
          <w:rFonts w:hint="eastAsia"/>
          <w:color w:val="000000"/>
        </w:rPr>
        <w:t>4.若第3＞6行，第9行＝0；若第3≤6行,第9行＝第8行与第6-3行的孰小值。</w:t>
      </w:r>
    </w:p>
    <w:p>
      <w:pPr>
        <w:pStyle w:val="9"/>
        <w:rPr>
          <w:color w:val="000000"/>
        </w:rPr>
      </w:pPr>
      <w:r>
        <w:rPr>
          <w:rFonts w:hint="eastAsia"/>
          <w:color w:val="000000"/>
        </w:rPr>
        <w:t>5.若第3＞6行，第12行＝2+3-6+10-11行；若第3≤6行,第12行＝第2-9+10-11行。</w:t>
      </w:r>
    </w:p>
    <w:p>
      <w:pPr>
        <w:pStyle w:val="9"/>
        <w:rPr>
          <w:color w:val="000000"/>
        </w:rPr>
      </w:pPr>
      <w:r>
        <w:rPr>
          <w:rFonts w:hint="eastAsia"/>
          <w:color w:val="000000"/>
        </w:rPr>
        <w:t>6.第13行＝第7+8-9行。</w:t>
      </w:r>
    </w:p>
    <w:p>
      <w:pPr>
        <w:pStyle w:val="12"/>
        <w:rPr>
          <w:color w:val="000000"/>
        </w:rPr>
      </w:pPr>
      <w:r>
        <w:rPr>
          <w:rFonts w:hint="eastAsia"/>
          <w:color w:val="000000"/>
        </w:rPr>
        <w:t>（二）表间关系</w:t>
      </w:r>
    </w:p>
    <w:p>
      <w:pPr>
        <w:pStyle w:val="9"/>
        <w:rPr>
          <w:color w:val="000000"/>
        </w:rPr>
        <w:sectPr>
          <w:pgSz w:w="11906" w:h="16838"/>
          <w:pgMar w:top="1985" w:right="1418" w:bottom="1928" w:left="1418" w:header="851" w:footer="992" w:gutter="113"/>
          <w:cols w:space="425" w:num="1"/>
          <w:docGrid w:linePitch="312" w:charSpace="0"/>
        </w:sectPr>
      </w:pPr>
      <w:r>
        <w:rPr>
          <w:rFonts w:hint="eastAsia"/>
          <w:color w:val="000000"/>
        </w:rPr>
        <w:t>若第12行≥0，第12行＝表A105000第16行第3列；若第12行＜0，第12行的绝对值＝表A105000第16行第3列。</w:t>
      </w:r>
    </w:p>
    <w:p>
      <w:pPr>
        <w:pStyle w:val="13"/>
      </w:pPr>
      <w:bookmarkStart w:id="56" w:name="_Toc499456583"/>
      <w:r>
        <w:rPr>
          <w:rFonts w:hint="eastAsia"/>
        </w:rPr>
        <w:t>A105070</w:t>
      </w:r>
      <w:r>
        <w:tab/>
      </w:r>
      <w:r>
        <w:rPr>
          <w:rFonts w:hint="eastAsia"/>
        </w:rPr>
        <w:t>捐赠支出及纳税调整明细表</w:t>
      </w:r>
      <w:bookmarkEnd w:id="56"/>
    </w:p>
    <w:tbl>
      <w:tblPr>
        <w:tblStyle w:val="7"/>
        <w:tblW w:w="138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1"/>
        <w:gridCol w:w="3915"/>
        <w:gridCol w:w="1223"/>
        <w:gridCol w:w="1408"/>
        <w:gridCol w:w="1223"/>
        <w:gridCol w:w="1223"/>
        <w:gridCol w:w="1438"/>
        <w:gridCol w:w="1315"/>
        <w:gridCol w:w="14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9" w:hRule="atLeast"/>
          <w:jc w:val="center"/>
        </w:trPr>
        <w:tc>
          <w:tcPr>
            <w:tcW w:w="661" w:type="dxa"/>
            <w:vMerge w:val="restart"/>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行次</w:t>
            </w:r>
          </w:p>
        </w:tc>
        <w:tc>
          <w:tcPr>
            <w:tcW w:w="3915" w:type="dxa"/>
            <w:vMerge w:val="restart"/>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   目</w:t>
            </w: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账载金额</w:t>
            </w:r>
          </w:p>
        </w:tc>
        <w:tc>
          <w:tcPr>
            <w:tcW w:w="1408"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以前年度结转可扣除的捐赠额</w:t>
            </w: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按税收规定计算的扣除限额</w:t>
            </w: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税收金额</w:t>
            </w:r>
          </w:p>
        </w:tc>
        <w:tc>
          <w:tcPr>
            <w:tcW w:w="1438"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纳税调增金额</w:t>
            </w:r>
          </w:p>
        </w:tc>
        <w:tc>
          <w:tcPr>
            <w:tcW w:w="131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纳税调减金额</w:t>
            </w:r>
          </w:p>
        </w:tc>
        <w:tc>
          <w:tcPr>
            <w:tcW w:w="145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可结转以后年度扣除的捐赠额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661" w:type="dxa"/>
            <w:vMerge w:val="continue"/>
            <w:shd w:val="clear" w:color="auto" w:fill="auto"/>
            <w:vAlign w:val="center"/>
          </w:tcPr>
          <w:p>
            <w:pPr>
              <w:widowControl/>
              <w:jc w:val="left"/>
              <w:rPr>
                <w:rFonts w:ascii="宋体" w:hAnsi="宋体" w:cs="宋体"/>
                <w:color w:val="000000"/>
                <w:kern w:val="0"/>
                <w:sz w:val="20"/>
                <w:szCs w:val="20"/>
              </w:rPr>
            </w:pPr>
          </w:p>
        </w:tc>
        <w:tc>
          <w:tcPr>
            <w:tcW w:w="3915" w:type="dxa"/>
            <w:vMerge w:val="continue"/>
            <w:shd w:val="clear" w:color="auto" w:fill="auto"/>
            <w:vAlign w:val="center"/>
          </w:tcPr>
          <w:p>
            <w:pPr>
              <w:widowControl/>
              <w:jc w:val="left"/>
              <w:rPr>
                <w:rFonts w:ascii="宋体" w:hAnsi="宋体" w:cs="宋体"/>
                <w:color w:val="000000"/>
                <w:kern w:val="0"/>
                <w:sz w:val="20"/>
                <w:szCs w:val="20"/>
              </w:rPr>
            </w:pP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08"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438"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45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6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915"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一、非公益性捐赠</w:t>
            </w: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8"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438"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1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45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6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915"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二、全额扣除的公益性捐赠</w:t>
            </w: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8"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38"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31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45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6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915"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三、限额扣除的公益性捐赠(4+5+6+7)</w:t>
            </w:r>
          </w:p>
        </w:tc>
        <w:tc>
          <w:tcPr>
            <w:tcW w:w="1223" w:type="dxa"/>
            <w:shd w:val="clear" w:color="auto" w:fill="FFFFFF"/>
            <w:vAlign w:val="center"/>
          </w:tcPr>
          <w:p>
            <w:pPr>
              <w:widowControl/>
              <w:jc w:val="center"/>
              <w:rPr>
                <w:rFonts w:ascii="宋体" w:hAnsi="宋体" w:cs="宋体"/>
                <w:color w:val="000000"/>
                <w:kern w:val="0"/>
                <w:sz w:val="20"/>
                <w:szCs w:val="20"/>
              </w:rPr>
            </w:pPr>
          </w:p>
        </w:tc>
        <w:tc>
          <w:tcPr>
            <w:tcW w:w="1408" w:type="dxa"/>
            <w:shd w:val="clear" w:color="auto" w:fill="FFFFFF"/>
            <w:vAlign w:val="center"/>
          </w:tcPr>
          <w:p>
            <w:pPr>
              <w:widowControl/>
              <w:jc w:val="center"/>
              <w:rPr>
                <w:rFonts w:ascii="宋体" w:hAnsi="宋体" w:cs="宋体"/>
                <w:color w:val="000000"/>
                <w:kern w:val="0"/>
                <w:sz w:val="20"/>
                <w:szCs w:val="20"/>
              </w:rPr>
            </w:pPr>
          </w:p>
        </w:tc>
        <w:tc>
          <w:tcPr>
            <w:tcW w:w="1223" w:type="dxa"/>
            <w:shd w:val="clear" w:color="auto" w:fill="FFFFFF"/>
            <w:vAlign w:val="center"/>
          </w:tcPr>
          <w:p>
            <w:pPr>
              <w:widowControl/>
              <w:jc w:val="center"/>
              <w:rPr>
                <w:rFonts w:ascii="宋体" w:hAnsi="宋体" w:cs="宋体"/>
                <w:color w:val="000000"/>
                <w:kern w:val="0"/>
                <w:sz w:val="20"/>
                <w:szCs w:val="20"/>
              </w:rPr>
            </w:pPr>
          </w:p>
        </w:tc>
        <w:tc>
          <w:tcPr>
            <w:tcW w:w="1223" w:type="dxa"/>
            <w:shd w:val="clear" w:color="auto" w:fill="FFFFFF"/>
            <w:vAlign w:val="center"/>
          </w:tcPr>
          <w:p>
            <w:pPr>
              <w:widowControl/>
              <w:jc w:val="center"/>
              <w:rPr>
                <w:rFonts w:ascii="宋体" w:hAnsi="宋体" w:cs="宋体"/>
                <w:color w:val="000000"/>
                <w:kern w:val="0"/>
                <w:sz w:val="20"/>
                <w:szCs w:val="20"/>
              </w:rPr>
            </w:pPr>
          </w:p>
        </w:tc>
        <w:tc>
          <w:tcPr>
            <w:tcW w:w="1438" w:type="dxa"/>
            <w:shd w:val="clear" w:color="auto" w:fill="FFFFFF"/>
            <w:vAlign w:val="center"/>
          </w:tcPr>
          <w:p>
            <w:pPr>
              <w:widowControl/>
              <w:jc w:val="center"/>
              <w:rPr>
                <w:rFonts w:ascii="宋体" w:hAnsi="宋体" w:cs="宋体"/>
                <w:color w:val="000000"/>
                <w:kern w:val="0"/>
                <w:sz w:val="20"/>
                <w:szCs w:val="20"/>
              </w:rPr>
            </w:pPr>
          </w:p>
        </w:tc>
        <w:tc>
          <w:tcPr>
            <w:tcW w:w="1315" w:type="dxa"/>
            <w:shd w:val="clear" w:color="auto" w:fill="FFFFFF"/>
            <w:vAlign w:val="center"/>
          </w:tcPr>
          <w:p>
            <w:pPr>
              <w:widowControl/>
              <w:jc w:val="center"/>
              <w:rPr>
                <w:rFonts w:ascii="宋体" w:hAnsi="宋体" w:cs="宋体"/>
                <w:color w:val="000000"/>
                <w:kern w:val="0"/>
                <w:sz w:val="20"/>
                <w:szCs w:val="20"/>
              </w:rPr>
            </w:pPr>
          </w:p>
        </w:tc>
        <w:tc>
          <w:tcPr>
            <w:tcW w:w="1454" w:type="dxa"/>
            <w:shd w:val="clear" w:color="auto" w:fill="FFFFFF"/>
            <w:vAlign w:val="center"/>
          </w:tcPr>
          <w:p>
            <w:pPr>
              <w:widowControl/>
              <w:jc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6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915"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前三年度（　　　　年）</w:t>
            </w: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408"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438"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315" w:type="dxa"/>
            <w:shd w:val="clear" w:color="auto" w:fill="auto"/>
            <w:vAlign w:val="center"/>
          </w:tcPr>
          <w:p>
            <w:pPr>
              <w:widowControl/>
              <w:jc w:val="center"/>
              <w:rPr>
                <w:rFonts w:ascii="宋体" w:hAnsi="宋体" w:cs="宋体"/>
                <w:color w:val="000000"/>
                <w:kern w:val="0"/>
                <w:sz w:val="20"/>
                <w:szCs w:val="20"/>
              </w:rPr>
            </w:pPr>
          </w:p>
        </w:tc>
        <w:tc>
          <w:tcPr>
            <w:tcW w:w="145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6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915"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前二年度（　　　　年）</w:t>
            </w: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408" w:type="dxa"/>
            <w:shd w:val="clear" w:color="auto" w:fill="auto"/>
            <w:vAlign w:val="center"/>
          </w:tcPr>
          <w:p>
            <w:pPr>
              <w:widowControl/>
              <w:jc w:val="center"/>
              <w:rPr>
                <w:rFonts w:ascii="宋体" w:hAnsi="宋体" w:cs="宋体"/>
                <w:color w:val="000000"/>
                <w:kern w:val="0"/>
                <w:sz w:val="20"/>
                <w:szCs w:val="20"/>
              </w:rPr>
            </w:pP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438"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315" w:type="dxa"/>
            <w:shd w:val="clear" w:color="auto" w:fill="auto"/>
            <w:vAlign w:val="center"/>
          </w:tcPr>
          <w:p>
            <w:pPr>
              <w:widowControl/>
              <w:jc w:val="center"/>
              <w:rPr>
                <w:rFonts w:ascii="宋体" w:hAnsi="宋体" w:cs="宋体"/>
                <w:color w:val="000000"/>
                <w:kern w:val="0"/>
                <w:sz w:val="20"/>
                <w:szCs w:val="20"/>
              </w:rPr>
            </w:pPr>
          </w:p>
        </w:tc>
        <w:tc>
          <w:tcPr>
            <w:tcW w:w="1454" w:type="dxa"/>
            <w:shd w:val="clear" w:color="auto" w:fill="auto"/>
            <w:vAlign w:val="center"/>
          </w:tcPr>
          <w:p>
            <w:pPr>
              <w:widowControl/>
              <w:jc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6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3915"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前一年度（　　　　年）</w:t>
            </w: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408" w:type="dxa"/>
            <w:shd w:val="clear" w:color="auto" w:fill="auto"/>
            <w:vAlign w:val="center"/>
          </w:tcPr>
          <w:p>
            <w:pPr>
              <w:widowControl/>
              <w:jc w:val="center"/>
              <w:rPr>
                <w:rFonts w:ascii="宋体" w:hAnsi="宋体" w:cs="宋体"/>
                <w:color w:val="000000"/>
                <w:kern w:val="0"/>
                <w:sz w:val="20"/>
                <w:szCs w:val="20"/>
              </w:rPr>
            </w:pP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438"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315" w:type="dxa"/>
            <w:shd w:val="clear" w:color="auto" w:fill="auto"/>
            <w:vAlign w:val="center"/>
          </w:tcPr>
          <w:p>
            <w:pPr>
              <w:widowControl/>
              <w:jc w:val="center"/>
              <w:rPr>
                <w:rFonts w:ascii="宋体" w:hAnsi="宋体" w:cs="宋体"/>
                <w:color w:val="000000"/>
                <w:kern w:val="0"/>
                <w:sz w:val="20"/>
                <w:szCs w:val="20"/>
              </w:rPr>
            </w:pPr>
          </w:p>
        </w:tc>
        <w:tc>
          <w:tcPr>
            <w:tcW w:w="1454" w:type="dxa"/>
            <w:shd w:val="clear" w:color="auto" w:fill="auto"/>
            <w:vAlign w:val="center"/>
          </w:tcPr>
          <w:p>
            <w:pPr>
              <w:widowControl/>
              <w:jc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6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3915"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本    年（　　　　年）</w:t>
            </w:r>
          </w:p>
        </w:tc>
        <w:tc>
          <w:tcPr>
            <w:tcW w:w="1223"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08"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223" w:type="dxa"/>
            <w:shd w:val="clear" w:color="auto" w:fill="auto"/>
            <w:vAlign w:val="center"/>
          </w:tcPr>
          <w:p>
            <w:pPr>
              <w:widowControl/>
              <w:jc w:val="center"/>
              <w:rPr>
                <w:rFonts w:ascii="宋体" w:hAnsi="宋体" w:cs="宋体"/>
                <w:color w:val="000000"/>
                <w:kern w:val="0"/>
                <w:sz w:val="20"/>
                <w:szCs w:val="20"/>
              </w:rPr>
            </w:pPr>
          </w:p>
        </w:tc>
        <w:tc>
          <w:tcPr>
            <w:tcW w:w="1223" w:type="dxa"/>
            <w:shd w:val="clear" w:color="auto" w:fill="auto"/>
            <w:vAlign w:val="center"/>
          </w:tcPr>
          <w:p>
            <w:pPr>
              <w:widowControl/>
              <w:jc w:val="center"/>
              <w:rPr>
                <w:rFonts w:ascii="宋体" w:hAnsi="宋体" w:cs="宋体"/>
                <w:color w:val="000000"/>
                <w:kern w:val="0"/>
                <w:sz w:val="20"/>
                <w:szCs w:val="20"/>
              </w:rPr>
            </w:pPr>
          </w:p>
        </w:tc>
        <w:tc>
          <w:tcPr>
            <w:tcW w:w="1438" w:type="dxa"/>
            <w:shd w:val="clear" w:color="auto" w:fill="auto"/>
            <w:vAlign w:val="center"/>
          </w:tcPr>
          <w:p>
            <w:pPr>
              <w:widowControl/>
              <w:jc w:val="center"/>
              <w:rPr>
                <w:rFonts w:ascii="宋体" w:hAnsi="宋体" w:cs="宋体"/>
                <w:color w:val="000000"/>
                <w:kern w:val="0"/>
                <w:sz w:val="20"/>
                <w:szCs w:val="20"/>
              </w:rPr>
            </w:pPr>
          </w:p>
        </w:tc>
        <w:tc>
          <w:tcPr>
            <w:tcW w:w="131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454" w:type="dxa"/>
            <w:shd w:val="clear" w:color="auto" w:fill="auto"/>
            <w:vAlign w:val="center"/>
          </w:tcPr>
          <w:p>
            <w:pPr>
              <w:widowControl/>
              <w:jc w:val="center"/>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61"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3915"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合计（1+2+3）</w:t>
            </w: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08"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23"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38"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1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54"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bl>
    <w:p>
      <w:pPr>
        <w:pStyle w:val="9"/>
      </w:pPr>
    </w:p>
    <w:p>
      <w:pPr>
        <w:sectPr>
          <w:pgSz w:w="16838" w:h="11906" w:orient="landscape"/>
          <w:pgMar w:top="1418" w:right="1985" w:bottom="1418" w:left="1928" w:header="851" w:footer="992" w:gutter="113"/>
          <w:cols w:space="425" w:num="1"/>
          <w:docGrid w:linePitch="312" w:charSpace="0"/>
        </w:sectPr>
      </w:pPr>
    </w:p>
    <w:p>
      <w:pPr>
        <w:pStyle w:val="8"/>
        <w:spacing w:before="240" w:after="360"/>
        <w:rPr>
          <w:color w:val="000000"/>
        </w:rPr>
      </w:pPr>
      <w:bookmarkStart w:id="57" w:name="_Toc499456584"/>
      <w:r>
        <w:rPr>
          <w:color w:val="000000"/>
        </w:rPr>
        <w:t>A105070</w:t>
      </w:r>
      <w:r>
        <w:rPr>
          <w:color w:val="000000"/>
        </w:rPr>
        <w:tab/>
      </w:r>
      <w:r>
        <w:rPr>
          <w:color w:val="000000"/>
        </w:rPr>
        <w:t>《</w:t>
      </w:r>
      <w:r>
        <w:rPr>
          <w:rFonts w:hint="eastAsia"/>
          <w:color w:val="000000"/>
        </w:rPr>
        <w:t>捐赠支出</w:t>
      </w:r>
      <w:r>
        <w:rPr>
          <w:rFonts w:hint="eastAsia"/>
        </w:rPr>
        <w:t>及</w:t>
      </w:r>
      <w:r>
        <w:rPr>
          <w:rFonts w:hint="eastAsia"/>
          <w:color w:val="000000"/>
        </w:rPr>
        <w:t>纳税调整明细表</w:t>
      </w:r>
      <w:r>
        <w:rPr>
          <w:color w:val="000000"/>
        </w:rPr>
        <w:t>》填报说明</w:t>
      </w:r>
      <w:bookmarkEnd w:id="57"/>
    </w:p>
    <w:p>
      <w:pPr>
        <w:pStyle w:val="9"/>
        <w:rPr>
          <w:color w:val="000000"/>
        </w:rPr>
      </w:pPr>
      <w:r>
        <w:rPr>
          <w:color w:val="000000"/>
        </w:rPr>
        <w:t>本表适用于发生捐赠支出</w:t>
      </w:r>
      <w:r>
        <w:rPr>
          <w:rFonts w:hint="eastAsia"/>
          <w:color w:val="000000"/>
        </w:rPr>
        <w:t>（含捐赠支出结转）的</w:t>
      </w:r>
      <w:r>
        <w:rPr>
          <w:color w:val="000000"/>
        </w:rPr>
        <w:t>纳税人填报。纳税人根据税法、《财政部</w:t>
      </w:r>
      <w:r>
        <w:rPr>
          <w:rFonts w:hint="eastAsia"/>
          <w:color w:val="000000"/>
        </w:rPr>
        <w:t xml:space="preserve"> </w:t>
      </w:r>
      <w:r>
        <w:rPr>
          <w:color w:val="000000"/>
        </w:rPr>
        <w:t>国家税务总局关于公益性捐赠税前扣除有关问题的通知》（财税〔2008〕160号）等相关规定，以及国家统一企业会计制度，填报捐赠支出会计处理、税收规定</w:t>
      </w:r>
      <w:r>
        <w:rPr>
          <w:rFonts w:hint="eastAsia"/>
          <w:color w:val="000000"/>
        </w:rPr>
        <w:t>的税前扣除额、捐赠支出结转额</w:t>
      </w:r>
      <w:r>
        <w:rPr>
          <w:color w:val="000000"/>
        </w:rPr>
        <w:t>以及纳税调整</w:t>
      </w:r>
      <w:r>
        <w:rPr>
          <w:rFonts w:hint="eastAsia"/>
          <w:color w:val="000000"/>
        </w:rPr>
        <w:t>额</w:t>
      </w:r>
      <w:r>
        <w:rPr>
          <w:color w:val="000000"/>
        </w:rPr>
        <w:t>。</w:t>
      </w:r>
      <w:r>
        <w:rPr>
          <w:rFonts w:hint="eastAsia"/>
          <w:color w:val="000000"/>
        </w:rPr>
        <w:t>纳税人发生相关支出（含捐赠支出结转），无论是否纳税调整，均应填报本表。</w:t>
      </w:r>
    </w:p>
    <w:p>
      <w:pPr>
        <w:pStyle w:val="11"/>
        <w:ind w:firstLine="482"/>
        <w:rPr>
          <w:color w:val="000000"/>
        </w:rPr>
      </w:pPr>
      <w:r>
        <w:rPr>
          <w:rFonts w:hint="eastAsia"/>
          <w:color w:val="000000"/>
        </w:rPr>
        <w:t>一、</w:t>
      </w:r>
      <w:r>
        <w:rPr>
          <w:color w:val="000000"/>
        </w:rPr>
        <w:t>有关项目填报说明</w:t>
      </w:r>
    </w:p>
    <w:p>
      <w:pPr>
        <w:pStyle w:val="9"/>
        <w:rPr>
          <w:color w:val="000000"/>
        </w:rPr>
      </w:pPr>
      <w:r>
        <w:rPr>
          <w:rFonts w:hint="eastAsia"/>
          <w:color w:val="000000"/>
        </w:rPr>
        <w:t>1.第1行“非公益性捐赠支出”：填报纳税人本年发生且已计入本年损益的税收规定公益性捐赠以外的其他捐赠支出的会计核算、纳税调整情况。具体如下：</w:t>
      </w:r>
    </w:p>
    <w:p>
      <w:pPr>
        <w:pStyle w:val="9"/>
        <w:rPr>
          <w:color w:val="000000"/>
        </w:rPr>
      </w:pPr>
      <w:r>
        <w:rPr>
          <w:rFonts w:hint="eastAsia"/>
          <w:color w:val="000000"/>
        </w:rPr>
        <w:t>（1）第1列“账载金额”：填报纳税人会计核算计入本年损益的税收规定公益性捐赠以外的其他捐赠支出金额。</w:t>
      </w:r>
    </w:p>
    <w:p>
      <w:pPr>
        <w:pStyle w:val="9"/>
        <w:rPr>
          <w:color w:val="000000"/>
        </w:rPr>
      </w:pPr>
      <w:r>
        <w:rPr>
          <w:rFonts w:hint="eastAsia"/>
          <w:color w:val="000000"/>
        </w:rPr>
        <w:t>（2）第5列“纳税调增额”：填报非公益性捐赠支出纳税调整增加额，金额等于第1列“账载金额”。</w:t>
      </w:r>
    </w:p>
    <w:p>
      <w:pPr>
        <w:pStyle w:val="9"/>
        <w:rPr>
          <w:color w:val="000000"/>
        </w:rPr>
      </w:pPr>
      <w:r>
        <w:rPr>
          <w:rFonts w:hint="eastAsia"/>
          <w:color w:val="000000"/>
        </w:rPr>
        <w:t>2.第2行“全额扣除的公益性捐赠支出”：填报纳税人发生的可全额税前扣除的公益性捐赠支出。具体如下：</w:t>
      </w:r>
    </w:p>
    <w:p>
      <w:pPr>
        <w:pStyle w:val="9"/>
        <w:rPr>
          <w:color w:val="000000"/>
        </w:rPr>
      </w:pPr>
      <w:r>
        <w:rPr>
          <w:rFonts w:hint="eastAsia"/>
          <w:color w:val="000000"/>
        </w:rPr>
        <w:t>（1）第1列“账载金额”：填报纳税人本年发生的会计核算计入本年损益的按税收规定可全额税前扣除的捐赠支出金额。</w:t>
      </w:r>
    </w:p>
    <w:p>
      <w:pPr>
        <w:pStyle w:val="9"/>
        <w:rPr>
          <w:color w:val="000000"/>
        </w:rPr>
      </w:pPr>
      <w:r>
        <w:rPr>
          <w:rFonts w:hint="eastAsia"/>
          <w:color w:val="000000"/>
        </w:rPr>
        <w:t>（2）第4列“税收金额”：等于第1列“账载金额”。</w:t>
      </w:r>
    </w:p>
    <w:p>
      <w:pPr>
        <w:pStyle w:val="9"/>
        <w:rPr>
          <w:color w:val="000000"/>
        </w:rPr>
      </w:pPr>
      <w:r>
        <w:rPr>
          <w:color w:val="000000"/>
        </w:rPr>
        <w:t>3.</w:t>
      </w:r>
      <w:r>
        <w:rPr>
          <w:rFonts w:hint="eastAsia"/>
          <w:color w:val="000000"/>
        </w:rPr>
        <w:t>第3行“限额扣除的公益性捐赠支出”：填报纳税人本年发生的限额扣除的公益性捐赠支出、纳税调整额、以前年度结转扣除捐赠支出等。第3行等于第4+5+6+7行。其中本行第4列“税收金额”：当本行第1列+第2列大于第3列时，第4列＝第3列；当本行第1列+第2列小于等于第3列时，第4列＝第1列+第2列。</w:t>
      </w:r>
    </w:p>
    <w:p>
      <w:pPr>
        <w:pStyle w:val="9"/>
        <w:rPr>
          <w:color w:val="000000"/>
        </w:rPr>
      </w:pPr>
      <w:r>
        <w:rPr>
          <w:rFonts w:hint="eastAsia"/>
          <w:color w:val="000000"/>
        </w:rPr>
        <w:t>4.第4行“前三年度”：填报纳税人前三年度发生的未税前扣除的公益性捐赠支出在本年度扣除的金额。具体如下：</w:t>
      </w:r>
    </w:p>
    <w:p>
      <w:pPr>
        <w:pStyle w:val="9"/>
        <w:rPr>
          <w:color w:val="000000"/>
        </w:rPr>
      </w:pPr>
      <w:r>
        <w:rPr>
          <w:rFonts w:hint="eastAsia"/>
          <w:color w:val="000000"/>
        </w:rPr>
        <w:t>（1）第2列“以前年度结转可扣除的捐赠额”：填报前三年度发生的尚未税前扣除的公益性捐赠支出金额。</w:t>
      </w:r>
    </w:p>
    <w:p>
      <w:pPr>
        <w:pStyle w:val="9"/>
        <w:rPr>
          <w:color w:val="000000"/>
        </w:rPr>
      </w:pPr>
      <w:r>
        <w:rPr>
          <w:rFonts w:hint="eastAsia"/>
          <w:color w:val="000000"/>
        </w:rPr>
        <w:t>（2）第</w:t>
      </w:r>
      <w:r>
        <w:rPr>
          <w:color w:val="000000"/>
        </w:rPr>
        <w:t>6</w:t>
      </w:r>
      <w:r>
        <w:rPr>
          <w:rFonts w:hint="eastAsia"/>
          <w:color w:val="000000"/>
        </w:rPr>
        <w:t>列“纳税调减额”：根据本年扣除限额以及前三年度未扣除的公益性捐赠支出分析填报。</w:t>
      </w:r>
    </w:p>
    <w:p>
      <w:pPr>
        <w:pStyle w:val="9"/>
        <w:rPr>
          <w:color w:val="000000"/>
        </w:rPr>
      </w:pPr>
      <w:r>
        <w:rPr>
          <w:rFonts w:hint="eastAsia"/>
          <w:color w:val="000000"/>
        </w:rPr>
        <w:t>5.第5行“前二年度”：填报纳税人前二年度发生的未税前扣除的公益性捐赠支出在本年度扣除的捐赠额以及结转以后年度扣除的捐赠额。具体如下：</w:t>
      </w:r>
    </w:p>
    <w:p>
      <w:pPr>
        <w:pStyle w:val="9"/>
        <w:rPr>
          <w:color w:val="000000"/>
        </w:rPr>
      </w:pPr>
      <w:r>
        <w:rPr>
          <w:rFonts w:hint="eastAsia"/>
          <w:color w:val="000000"/>
        </w:rPr>
        <w:t>（1）第2列“以前年度结转可扣除的捐赠额”：填报前二年度发生的尚未税前扣除的公益性捐赠支出金额。</w:t>
      </w:r>
    </w:p>
    <w:p>
      <w:pPr>
        <w:pStyle w:val="9"/>
        <w:rPr>
          <w:color w:val="000000"/>
        </w:rPr>
      </w:pPr>
      <w:r>
        <w:rPr>
          <w:rFonts w:hint="eastAsia"/>
          <w:color w:val="000000"/>
        </w:rPr>
        <w:t>（2）第</w:t>
      </w:r>
      <w:r>
        <w:rPr>
          <w:color w:val="000000"/>
        </w:rPr>
        <w:t>6</w:t>
      </w:r>
      <w:r>
        <w:rPr>
          <w:rFonts w:hint="eastAsia"/>
          <w:color w:val="000000"/>
        </w:rPr>
        <w:t>列“纳税调减额”：根据本年剩余扣除限额、本年扣除前三年度捐赠支出、前二年度未扣除的公益性捐赠支出分析填报。</w:t>
      </w:r>
    </w:p>
    <w:p>
      <w:pPr>
        <w:pStyle w:val="9"/>
        <w:rPr>
          <w:color w:val="000000"/>
        </w:rPr>
      </w:pPr>
      <w:r>
        <w:rPr>
          <w:rFonts w:hint="eastAsia"/>
          <w:color w:val="000000"/>
        </w:rPr>
        <w:t>（3）第7列“可结转以后年度扣除的捐赠额”：填报前二年度未扣除、结转以后年度扣除的公益性捐赠支出金额。</w:t>
      </w:r>
    </w:p>
    <w:p>
      <w:pPr>
        <w:pStyle w:val="9"/>
        <w:rPr>
          <w:color w:val="000000"/>
        </w:rPr>
      </w:pPr>
      <w:r>
        <w:rPr>
          <w:rFonts w:hint="eastAsia"/>
          <w:color w:val="000000"/>
        </w:rPr>
        <w:t>6.第6行“前一年度”：填报纳税人前一年度发生的未税前扣除的公益性捐赠支出在本年度扣除的捐赠额以及结转以后年度扣除的捐赠额。具体如下：</w:t>
      </w:r>
    </w:p>
    <w:p>
      <w:pPr>
        <w:pStyle w:val="9"/>
      </w:pPr>
      <w:r>
        <w:rPr>
          <w:rFonts w:hint="eastAsia"/>
        </w:rPr>
        <w:t>（1）第2列“以前年度结转可扣除的捐赠额”：填报前一年度发生的尚未税前扣除的公益性捐赠支出金额。</w:t>
      </w:r>
    </w:p>
    <w:p>
      <w:pPr>
        <w:pStyle w:val="9"/>
      </w:pPr>
      <w:r>
        <w:rPr>
          <w:rFonts w:hint="eastAsia"/>
        </w:rPr>
        <w:t>（2）第</w:t>
      </w:r>
      <w:r>
        <w:t>6</w:t>
      </w:r>
      <w:r>
        <w:rPr>
          <w:rFonts w:hint="eastAsia"/>
        </w:rPr>
        <w:t>列“纳税调减额”：根据本年剩余扣除限额、本年扣除前三年度捐赠支出、本年扣除前二年度捐赠支出、前一年度未扣除的公益性捐赠支出分析填报。</w:t>
      </w:r>
    </w:p>
    <w:p>
      <w:pPr>
        <w:pStyle w:val="9"/>
      </w:pPr>
      <w:r>
        <w:rPr>
          <w:rFonts w:hint="eastAsia"/>
        </w:rPr>
        <w:t>（3）第7列“</w:t>
      </w:r>
      <w:r>
        <w:rPr>
          <w:rFonts w:hint="eastAsia" w:cs="宋体"/>
          <w:kern w:val="0"/>
        </w:rPr>
        <w:t>可结转以后年度扣除的捐赠额</w:t>
      </w:r>
      <w:r>
        <w:rPr>
          <w:rFonts w:hint="eastAsia"/>
        </w:rPr>
        <w:t>”：填报前一年度未扣除、结转以后年度扣除的公益性捐赠支出</w:t>
      </w:r>
      <w:r>
        <w:rPr>
          <w:rFonts w:hint="eastAsia"/>
          <w:color w:val="000000"/>
        </w:rPr>
        <w:t>金额</w:t>
      </w:r>
      <w:r>
        <w:rPr>
          <w:rFonts w:hint="eastAsia"/>
        </w:rPr>
        <w:t>。</w:t>
      </w:r>
    </w:p>
    <w:p>
      <w:pPr>
        <w:pStyle w:val="9"/>
      </w:pPr>
      <w:r>
        <w:rPr>
          <w:rFonts w:hint="eastAsia"/>
        </w:rPr>
        <w:t>7.第7行“本年”：填报纳税人本年度发生、本年税前扣除、本年纳税调增以及结转以后年度扣除的公益性捐赠支出。具体如下：</w:t>
      </w:r>
    </w:p>
    <w:p>
      <w:pPr>
        <w:pStyle w:val="9"/>
      </w:pPr>
      <w:r>
        <w:rPr>
          <w:rFonts w:hint="eastAsia"/>
        </w:rPr>
        <w:t>（1）第1列“账载金额”：填报本年会计核算计入本年损益的公益性捐赠支出金额。</w:t>
      </w:r>
    </w:p>
    <w:p>
      <w:pPr>
        <w:pStyle w:val="9"/>
      </w:pPr>
      <w:r>
        <w:rPr>
          <w:rFonts w:hint="eastAsia"/>
        </w:rPr>
        <w:t>（2）第3列“按税收规定计算的扣除限额”：填报按照本年利润总额乘以12%的金额，若利润总额为负数，则以0填报。</w:t>
      </w:r>
    </w:p>
    <w:p>
      <w:pPr>
        <w:pStyle w:val="9"/>
      </w:pPr>
      <w:r>
        <w:rPr>
          <w:rFonts w:hint="eastAsia"/>
        </w:rPr>
        <w:t>（3）第4列“税收金额”：填报本年实际发生的公益性捐赠支出以及结转扣除以前年度公益性捐赠支出情况分析填报。</w:t>
      </w:r>
    </w:p>
    <w:p>
      <w:pPr>
        <w:pStyle w:val="9"/>
      </w:pPr>
      <w:r>
        <w:rPr>
          <w:rFonts w:hint="eastAsia"/>
        </w:rPr>
        <w:t>（4）第5列“纳税调增额”：填报本年公益性捐赠支出账载金额超过税收规定的税前扣除额的部分。</w:t>
      </w:r>
    </w:p>
    <w:p>
      <w:pPr>
        <w:pStyle w:val="9"/>
        <w:rPr>
          <w:b/>
        </w:rPr>
      </w:pPr>
      <w:r>
        <w:rPr>
          <w:rFonts w:hint="eastAsia"/>
        </w:rPr>
        <w:t>（5）第7列“可结转以后年度扣除的捐赠额”：填报本年度未扣除、结转以后年度扣除的公益性捐赠支出</w:t>
      </w:r>
      <w:r>
        <w:rPr>
          <w:rFonts w:hint="eastAsia"/>
          <w:color w:val="000000"/>
        </w:rPr>
        <w:t>金额</w:t>
      </w:r>
      <w:r>
        <w:rPr>
          <w:rFonts w:hint="eastAsia"/>
          <w:b/>
        </w:rPr>
        <w:t>。</w:t>
      </w:r>
    </w:p>
    <w:p>
      <w:pPr>
        <w:pStyle w:val="9"/>
        <w:rPr>
          <w:b/>
        </w:rPr>
      </w:pPr>
      <w:r>
        <w:rPr>
          <w:rFonts w:hint="eastAsia"/>
        </w:rPr>
        <w:t>8.第8行“合计”：填报第1+2+3行的合计金额。</w:t>
      </w:r>
    </w:p>
    <w:p>
      <w:pPr>
        <w:pStyle w:val="11"/>
        <w:ind w:firstLine="482"/>
      </w:pPr>
      <w:r>
        <w:rPr>
          <w:rFonts w:hint="eastAsia"/>
        </w:rPr>
        <w:t>二、</w:t>
      </w:r>
      <w:r>
        <w:t>表内、表间关系</w:t>
      </w:r>
    </w:p>
    <w:p>
      <w:pPr>
        <w:pStyle w:val="12"/>
      </w:pPr>
      <w:r>
        <w:rPr>
          <w:rFonts w:hint="eastAsia"/>
        </w:rPr>
        <w:t>（一）表内关系</w:t>
      </w:r>
    </w:p>
    <w:p>
      <w:pPr>
        <w:pStyle w:val="9"/>
      </w:pPr>
      <w:r>
        <w:rPr>
          <w:rFonts w:hint="eastAsia"/>
        </w:rPr>
        <w:t>1.第1行第5列＝第1行第1列。</w:t>
      </w:r>
    </w:p>
    <w:p>
      <w:pPr>
        <w:pStyle w:val="9"/>
      </w:pPr>
      <w:r>
        <w:rPr>
          <w:rFonts w:hint="eastAsia"/>
        </w:rPr>
        <w:t>2.第2行第4列＝第2行第1列。</w:t>
      </w:r>
    </w:p>
    <w:p>
      <w:pPr>
        <w:pStyle w:val="9"/>
      </w:pPr>
      <w:r>
        <w:rPr>
          <w:rFonts w:hint="eastAsia"/>
        </w:rPr>
        <w:t>3.第3行＝第4+5+6+7行。</w:t>
      </w:r>
    </w:p>
    <w:p>
      <w:pPr>
        <w:pStyle w:val="9"/>
      </w:pPr>
      <w:r>
        <w:t>4</w:t>
      </w:r>
      <w:r>
        <w:rPr>
          <w:rFonts w:hint="eastAsia"/>
        </w:rPr>
        <w:t>.第8行＝第1+2+3行。</w:t>
      </w:r>
    </w:p>
    <w:p>
      <w:pPr>
        <w:pStyle w:val="12"/>
        <w:rPr>
          <w:color w:val="000000"/>
        </w:rPr>
      </w:pPr>
      <w:r>
        <w:rPr>
          <w:rFonts w:hint="eastAsia"/>
          <w:color w:val="000000"/>
        </w:rPr>
        <w:t>（二）表间关系</w:t>
      </w:r>
    </w:p>
    <w:p>
      <w:pPr>
        <w:pStyle w:val="9"/>
        <w:rPr>
          <w:bCs/>
        </w:rPr>
      </w:pPr>
      <w:r>
        <w:rPr>
          <w:rFonts w:hint="eastAsia"/>
        </w:rPr>
        <w:t>1.第7行第</w:t>
      </w:r>
      <w:r>
        <w:t>3</w:t>
      </w:r>
      <w:r>
        <w:rPr>
          <w:rFonts w:hint="eastAsia"/>
        </w:rPr>
        <w:t>列＝表A100000第13行×12%（当表A100000第13行≤0，第7行第</w:t>
      </w:r>
      <w:r>
        <w:t>3</w:t>
      </w:r>
      <w:r>
        <w:rPr>
          <w:rFonts w:hint="eastAsia"/>
        </w:rPr>
        <w:t>列＝0）。</w:t>
      </w:r>
    </w:p>
    <w:p>
      <w:pPr>
        <w:pStyle w:val="9"/>
        <w:rPr>
          <w:bCs/>
        </w:rPr>
      </w:pPr>
      <w:r>
        <w:rPr>
          <w:rFonts w:hint="eastAsia"/>
        </w:rPr>
        <w:t>2.第8行第1列＝表A105000第17行第1列；第8行第4列＝表A105000第17行第2列；第8行第5列＝表A105000第17行第3列；第8行第6列＝表A105000第17行第4列。</w:t>
      </w:r>
    </w:p>
    <w:p>
      <w:pPr>
        <w:pStyle w:val="13"/>
        <w:sectPr>
          <w:pgSz w:w="11906" w:h="16838"/>
          <w:pgMar w:top="1985" w:right="1418" w:bottom="1928" w:left="1418" w:header="851" w:footer="992" w:gutter="113"/>
          <w:cols w:space="425" w:num="1"/>
          <w:docGrid w:linePitch="312" w:charSpace="0"/>
        </w:sectPr>
      </w:pPr>
    </w:p>
    <w:p>
      <w:pPr>
        <w:pStyle w:val="13"/>
      </w:pPr>
      <w:bookmarkStart w:id="58" w:name="_Toc499456585"/>
      <w:r>
        <w:rPr>
          <w:rFonts w:hint="eastAsia"/>
        </w:rPr>
        <w:t>A105080</w:t>
      </w:r>
      <w:r>
        <w:tab/>
      </w:r>
      <w:r>
        <w:rPr>
          <w:rFonts w:hint="eastAsia"/>
        </w:rPr>
        <w:t>资产折旧、摊销及纳税调整明细表</w:t>
      </w:r>
      <w:bookmarkEnd w:id="58"/>
    </w:p>
    <w:tbl>
      <w:tblPr>
        <w:tblStyle w:val="7"/>
        <w:tblW w:w="1496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953"/>
        <w:gridCol w:w="3976"/>
        <w:gridCol w:w="992"/>
        <w:gridCol w:w="1143"/>
        <w:gridCol w:w="895"/>
        <w:gridCol w:w="840"/>
        <w:gridCol w:w="840"/>
        <w:gridCol w:w="1741"/>
        <w:gridCol w:w="1040"/>
        <w:gridCol w:w="963"/>
        <w:gridCol w:w="9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64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4929" w:type="dxa"/>
            <w:gridSpan w:val="2"/>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        目</w:t>
            </w:r>
          </w:p>
        </w:tc>
        <w:tc>
          <w:tcPr>
            <w:tcW w:w="3030"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账载金额</w:t>
            </w:r>
          </w:p>
        </w:tc>
        <w:tc>
          <w:tcPr>
            <w:tcW w:w="5424" w:type="dxa"/>
            <w:gridSpan w:val="5"/>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税收金额</w:t>
            </w:r>
          </w:p>
        </w:tc>
        <w:tc>
          <w:tcPr>
            <w:tcW w:w="94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纳税调整金额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0" w:hRule="atLeast"/>
          <w:jc w:val="center"/>
        </w:trPr>
        <w:tc>
          <w:tcPr>
            <w:tcW w:w="640" w:type="dxa"/>
            <w:vMerge w:val="continue"/>
            <w:shd w:val="clear" w:color="auto" w:fill="auto"/>
            <w:vAlign w:val="center"/>
          </w:tcPr>
          <w:p>
            <w:pPr>
              <w:widowControl/>
              <w:jc w:val="left"/>
              <w:rPr>
                <w:rFonts w:ascii="宋体" w:hAnsi="宋体" w:cs="宋体"/>
                <w:kern w:val="0"/>
                <w:sz w:val="20"/>
                <w:szCs w:val="20"/>
              </w:rPr>
            </w:pPr>
          </w:p>
        </w:tc>
        <w:tc>
          <w:tcPr>
            <w:tcW w:w="4929" w:type="dxa"/>
            <w:gridSpan w:val="2"/>
            <w:vMerge w:val="continue"/>
            <w:shd w:val="clear" w:color="auto" w:fill="auto"/>
            <w:vAlign w:val="center"/>
          </w:tcPr>
          <w:p>
            <w:pPr>
              <w:widowControl/>
              <w:jc w:val="left"/>
              <w:rPr>
                <w:rFonts w:ascii="宋体" w:hAnsi="宋体" w:cs="宋体"/>
                <w:kern w:val="0"/>
                <w:sz w:val="20"/>
                <w:szCs w:val="20"/>
              </w:rPr>
            </w:pPr>
          </w:p>
        </w:tc>
        <w:tc>
          <w:tcPr>
            <w:tcW w:w="99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资产原值</w:t>
            </w:r>
          </w:p>
        </w:tc>
        <w:tc>
          <w:tcPr>
            <w:tcW w:w="1143"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本年折旧、摊销额</w:t>
            </w:r>
          </w:p>
        </w:tc>
        <w:tc>
          <w:tcPr>
            <w:tcW w:w="89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累计折旧、摊销额</w:t>
            </w:r>
          </w:p>
        </w:tc>
        <w:tc>
          <w:tcPr>
            <w:tcW w:w="8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资产计税基础</w:t>
            </w:r>
          </w:p>
        </w:tc>
        <w:tc>
          <w:tcPr>
            <w:tcW w:w="8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税收折旧额</w:t>
            </w:r>
          </w:p>
        </w:tc>
        <w:tc>
          <w:tcPr>
            <w:tcW w:w="174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享受加速折旧政策的资产按税收一般规定计算的折旧、摊销额</w:t>
            </w:r>
          </w:p>
        </w:tc>
        <w:tc>
          <w:tcPr>
            <w:tcW w:w="10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加速折旧统计额</w:t>
            </w:r>
          </w:p>
        </w:tc>
        <w:tc>
          <w:tcPr>
            <w:tcW w:w="963"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累计折旧、摊销额</w:t>
            </w:r>
          </w:p>
        </w:tc>
        <w:tc>
          <w:tcPr>
            <w:tcW w:w="940" w:type="dxa"/>
            <w:vMerge w:val="continue"/>
            <w:vAlign w:val="center"/>
          </w:tcPr>
          <w:p>
            <w:pPr>
              <w:widowControl/>
              <w:jc w:val="lef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vMerge w:val="continue"/>
            <w:tcBorders>
              <w:bottom w:val="single" w:color="auto" w:sz="12" w:space="0"/>
            </w:tcBorders>
            <w:shd w:val="clear" w:color="auto" w:fill="auto"/>
            <w:vAlign w:val="center"/>
          </w:tcPr>
          <w:p>
            <w:pPr>
              <w:widowControl/>
              <w:jc w:val="left"/>
              <w:rPr>
                <w:rFonts w:ascii="宋体" w:hAnsi="宋体" w:cs="宋体"/>
                <w:kern w:val="0"/>
                <w:sz w:val="20"/>
                <w:szCs w:val="20"/>
              </w:rPr>
            </w:pPr>
          </w:p>
        </w:tc>
        <w:tc>
          <w:tcPr>
            <w:tcW w:w="4929" w:type="dxa"/>
            <w:gridSpan w:val="2"/>
            <w:vMerge w:val="continue"/>
            <w:tcBorders>
              <w:bottom w:val="single" w:color="auto" w:sz="12" w:space="0"/>
            </w:tcBorders>
            <w:shd w:val="clear" w:color="auto" w:fill="auto"/>
            <w:vAlign w:val="center"/>
          </w:tcPr>
          <w:p>
            <w:pPr>
              <w:widowControl/>
              <w:jc w:val="left"/>
              <w:rPr>
                <w:rFonts w:ascii="宋体" w:hAnsi="宋体" w:cs="宋体"/>
                <w:kern w:val="0"/>
                <w:sz w:val="20"/>
                <w:szCs w:val="20"/>
              </w:rPr>
            </w:pPr>
          </w:p>
        </w:tc>
        <w:tc>
          <w:tcPr>
            <w:tcW w:w="992"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43"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95"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40"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40"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741"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40"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7=5-6</w:t>
            </w:r>
          </w:p>
        </w:tc>
        <w:tc>
          <w:tcPr>
            <w:tcW w:w="963"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940"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12"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929" w:type="dxa"/>
            <w:gridSpan w:val="2"/>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一、固定资产（2+3+4+5+6+7）</w:t>
            </w:r>
          </w:p>
        </w:tc>
        <w:tc>
          <w:tcPr>
            <w:tcW w:w="992" w:type="dxa"/>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p>
        </w:tc>
        <w:tc>
          <w:tcPr>
            <w:tcW w:w="1741" w:type="dxa"/>
            <w:tcBorders>
              <w:top w:val="single" w:color="auto" w:sz="12"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12"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53" w:type="dxa"/>
            <w:vMerge w:val="restart"/>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所有固定资产</w:t>
            </w:r>
          </w:p>
        </w:tc>
        <w:tc>
          <w:tcPr>
            <w:tcW w:w="3976"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（一）房屋、建筑物</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53"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3976"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（二）飞机、火车、轮船、机器、机械和其他生产设备</w:t>
            </w:r>
          </w:p>
        </w:tc>
        <w:tc>
          <w:tcPr>
            <w:tcW w:w="992"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953"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3976"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（三）与生产经营活动有关的器具、工具、家具等</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953"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3976"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（四）飞机、火车、轮船以外的运输工具</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953"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3976"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（五）电子设备</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953"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3976"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（六）其他</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953" w:type="dxa"/>
            <w:vMerge w:val="restart"/>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其中：享受固定资产加速折旧及一次性扣除政策的资产加速折旧额大于一般折旧额的部分</w:t>
            </w:r>
          </w:p>
        </w:tc>
        <w:tc>
          <w:tcPr>
            <w:tcW w:w="3976"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（一）重要行业固定资产加速折旧（不含一次性扣除）</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953"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3976"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（二）其他行业研发设备加速折旧</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953"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3976"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（三）允许一次性扣除的固定资产（11+12+13）</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953"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3976" w:type="dxa"/>
            <w:tcBorders>
              <w:top w:val="single" w:color="auto" w:sz="6" w:space="0"/>
              <w:bottom w:val="single" w:color="auto" w:sz="6" w:space="0"/>
            </w:tcBorders>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1.单价不超过100万元专用研发设备</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953"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3976" w:type="dxa"/>
            <w:tcBorders>
              <w:top w:val="single" w:color="auto" w:sz="6" w:space="0"/>
              <w:bottom w:val="single" w:color="auto" w:sz="6" w:space="0"/>
            </w:tcBorders>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2.重要行业小型微利企业单价不超过100万元研发生产共用设备</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953"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3976" w:type="dxa"/>
            <w:tcBorders>
              <w:top w:val="single" w:color="auto" w:sz="6" w:space="0"/>
              <w:bottom w:val="single" w:color="auto" w:sz="6" w:space="0"/>
            </w:tcBorders>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3.5000元以下固定资产</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953"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3976"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（四）技术进步、更新换代固定资产</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63"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953"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3976"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（五）常年强震动、高腐蚀固定资产</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63"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953"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3976"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（六）外购软件折旧</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63"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953" w:type="dxa"/>
            <w:vMerge w:val="continue"/>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p>
        </w:tc>
        <w:tc>
          <w:tcPr>
            <w:tcW w:w="3976"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（七）集成电路企业生产设备</w:t>
            </w:r>
          </w:p>
        </w:tc>
        <w:tc>
          <w:tcPr>
            <w:tcW w:w="992"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0"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3" w:type="dxa"/>
            <w:tcBorders>
              <w:top w:val="single" w:color="auto" w:sz="6" w:space="0"/>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4929" w:type="dxa"/>
            <w:gridSpan w:val="2"/>
            <w:tcBorders>
              <w:top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二、生产性生物资产（19+20）</w:t>
            </w:r>
          </w:p>
        </w:tc>
        <w:tc>
          <w:tcPr>
            <w:tcW w:w="992" w:type="dxa"/>
            <w:tcBorders>
              <w:top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4929" w:type="dxa"/>
            <w:gridSpan w:val="2"/>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（一）林木类</w:t>
            </w:r>
          </w:p>
        </w:tc>
        <w:tc>
          <w:tcPr>
            <w:tcW w:w="992"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4929" w:type="dxa"/>
            <w:gridSpan w:val="2"/>
            <w:tcBorders>
              <w:bottom w:val="single" w:color="auto" w:sz="12" w:space="0"/>
            </w:tcBorders>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（二）畜类</w:t>
            </w:r>
          </w:p>
        </w:tc>
        <w:tc>
          <w:tcPr>
            <w:tcW w:w="992" w:type="dxa"/>
            <w:tcBorders>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12"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4929" w:type="dxa"/>
            <w:gridSpan w:val="2"/>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三、无形资产（22+23+24+25+26+27+28+30）</w:t>
            </w:r>
          </w:p>
        </w:tc>
        <w:tc>
          <w:tcPr>
            <w:tcW w:w="992" w:type="dxa"/>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12"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12"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4929" w:type="dxa"/>
            <w:gridSpan w:val="2"/>
            <w:tcBorders>
              <w:top w:val="single" w:color="auto" w:sz="6" w:space="0"/>
              <w:bottom w:val="single" w:color="auto" w:sz="6" w:space="0"/>
            </w:tcBorders>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（一）专利权</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4929" w:type="dxa"/>
            <w:gridSpan w:val="2"/>
            <w:tcBorders>
              <w:top w:val="single" w:color="auto" w:sz="6" w:space="0"/>
              <w:bottom w:val="single" w:color="auto" w:sz="6" w:space="0"/>
            </w:tcBorders>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（二）商标权</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929" w:type="dxa"/>
            <w:gridSpan w:val="2"/>
            <w:tcBorders>
              <w:top w:val="single" w:color="auto" w:sz="6" w:space="0"/>
              <w:bottom w:val="single" w:color="auto" w:sz="6" w:space="0"/>
            </w:tcBorders>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（三）著作权</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4929" w:type="dxa"/>
            <w:gridSpan w:val="2"/>
            <w:tcBorders>
              <w:top w:val="single" w:color="auto" w:sz="6" w:space="0"/>
              <w:bottom w:val="single" w:color="auto" w:sz="6" w:space="0"/>
            </w:tcBorders>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（四）土地使用权</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4929" w:type="dxa"/>
            <w:gridSpan w:val="2"/>
            <w:tcBorders>
              <w:top w:val="single" w:color="auto" w:sz="6" w:space="0"/>
              <w:bottom w:val="single" w:color="auto" w:sz="6" w:space="0"/>
            </w:tcBorders>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（五）非专利技术</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4929" w:type="dxa"/>
            <w:gridSpan w:val="2"/>
            <w:tcBorders>
              <w:top w:val="single" w:color="auto" w:sz="6" w:space="0"/>
              <w:bottom w:val="single" w:color="auto" w:sz="6" w:space="0"/>
            </w:tcBorders>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（六）特许权使用费</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4929" w:type="dxa"/>
            <w:gridSpan w:val="2"/>
            <w:tcBorders>
              <w:top w:val="single" w:color="auto" w:sz="6" w:space="0"/>
              <w:bottom w:val="single" w:color="auto" w:sz="6" w:space="0"/>
            </w:tcBorders>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（七）软件</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4929" w:type="dxa"/>
            <w:gridSpan w:val="2"/>
            <w:tcBorders>
              <w:top w:val="single" w:color="auto" w:sz="6" w:space="0"/>
              <w:bottom w:val="single" w:color="auto" w:sz="6" w:space="0"/>
            </w:tcBorders>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其中：享受企业外购软件加速摊销政策</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4929" w:type="dxa"/>
            <w:gridSpan w:val="2"/>
            <w:tcBorders>
              <w:top w:val="single" w:color="auto" w:sz="6" w:space="0"/>
              <w:bottom w:val="single" w:color="auto" w:sz="12" w:space="0"/>
            </w:tcBorders>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（八）其他</w:t>
            </w:r>
          </w:p>
        </w:tc>
        <w:tc>
          <w:tcPr>
            <w:tcW w:w="992"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6" w:space="0"/>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12"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4929" w:type="dxa"/>
            <w:gridSpan w:val="2"/>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四、长期待摊费用（32+33+34+35+36）</w:t>
            </w:r>
          </w:p>
        </w:tc>
        <w:tc>
          <w:tcPr>
            <w:tcW w:w="992" w:type="dxa"/>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12"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12"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12"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4929" w:type="dxa"/>
            <w:gridSpan w:val="2"/>
            <w:tcBorders>
              <w:top w:val="single" w:color="auto" w:sz="6" w:space="0"/>
              <w:bottom w:val="single" w:color="auto" w:sz="6" w:space="0"/>
            </w:tcBorders>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（一）已足额提取折旧的固定资产的改建支出</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4929" w:type="dxa"/>
            <w:gridSpan w:val="2"/>
            <w:tcBorders>
              <w:top w:val="single" w:color="auto" w:sz="6" w:space="0"/>
              <w:bottom w:val="single" w:color="auto" w:sz="6" w:space="0"/>
            </w:tcBorders>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（二）租入固定资产的改建支出</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4929" w:type="dxa"/>
            <w:gridSpan w:val="2"/>
            <w:tcBorders>
              <w:top w:val="single" w:color="auto" w:sz="6" w:space="0"/>
              <w:bottom w:val="single" w:color="auto" w:sz="6" w:space="0"/>
            </w:tcBorders>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（三）固定资产的大修理支出</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4929" w:type="dxa"/>
            <w:gridSpan w:val="2"/>
            <w:tcBorders>
              <w:top w:val="single" w:color="auto" w:sz="6" w:space="0"/>
              <w:bottom w:val="single" w:color="auto" w:sz="6" w:space="0"/>
            </w:tcBorders>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（四）开办费</w:t>
            </w:r>
          </w:p>
        </w:tc>
        <w:tc>
          <w:tcPr>
            <w:tcW w:w="992"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6" w:space="0"/>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4929" w:type="dxa"/>
            <w:gridSpan w:val="2"/>
            <w:tcBorders>
              <w:top w:val="single" w:color="auto" w:sz="6" w:space="0"/>
              <w:bottom w:val="single" w:color="auto" w:sz="12" w:space="0"/>
            </w:tcBorders>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（五）其他</w:t>
            </w:r>
          </w:p>
        </w:tc>
        <w:tc>
          <w:tcPr>
            <w:tcW w:w="992"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6" w:space="0"/>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6" w:space="0"/>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4929" w:type="dxa"/>
            <w:gridSpan w:val="2"/>
            <w:tcBorders>
              <w:top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五、油气勘探投资</w:t>
            </w:r>
          </w:p>
        </w:tc>
        <w:tc>
          <w:tcPr>
            <w:tcW w:w="992" w:type="dxa"/>
            <w:tcBorders>
              <w:top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4929" w:type="dxa"/>
            <w:gridSpan w:val="2"/>
            <w:tcBorders>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六、油气开发投资</w:t>
            </w:r>
          </w:p>
        </w:tc>
        <w:tc>
          <w:tcPr>
            <w:tcW w:w="992" w:type="dxa"/>
            <w:tcBorders>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tcBorders>
              <w:top w:val="single" w:color="auto" w:sz="12" w:space="0"/>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4929" w:type="dxa"/>
            <w:gridSpan w:val="2"/>
            <w:tcBorders>
              <w:top w:val="single" w:color="auto" w:sz="12"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合计（1+18+21+31+37+38）</w:t>
            </w:r>
          </w:p>
        </w:tc>
        <w:tc>
          <w:tcPr>
            <w:tcW w:w="992" w:type="dxa"/>
            <w:tcBorders>
              <w:top w:val="single" w:color="auto" w:sz="12"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12"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12"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12"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12"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12"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40" w:type="dxa"/>
            <w:tcBorders>
              <w:top w:val="single" w:color="auto" w:sz="12"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3" w:type="dxa"/>
            <w:tcBorders>
              <w:top w:val="single" w:color="auto" w:sz="12"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12"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1593" w:type="dxa"/>
            <w:gridSpan w:val="2"/>
            <w:tcBorders>
              <w:top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附列资料</w:t>
            </w:r>
          </w:p>
        </w:tc>
        <w:tc>
          <w:tcPr>
            <w:tcW w:w="3976" w:type="dxa"/>
            <w:tcBorders>
              <w:top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全民所有制改制资产评估增值政策资产</w:t>
            </w:r>
          </w:p>
        </w:tc>
        <w:tc>
          <w:tcPr>
            <w:tcW w:w="992" w:type="dxa"/>
            <w:tcBorders>
              <w:top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43" w:type="dxa"/>
            <w:tcBorders>
              <w:top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95" w:type="dxa"/>
            <w:tcBorders>
              <w:top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40" w:type="dxa"/>
            <w:tcBorders>
              <w:top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41" w:type="dxa"/>
            <w:tcBorders>
              <w:top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40" w:type="dxa"/>
            <w:tcBorders>
              <w:top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63" w:type="dxa"/>
            <w:tcBorders>
              <w:top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bl>
    <w:p>
      <w:pPr>
        <w:pStyle w:val="9"/>
      </w:pPr>
    </w:p>
    <w:p>
      <w:pPr>
        <w:spacing w:line="360" w:lineRule="auto"/>
        <w:rPr>
          <w:rFonts w:ascii="宋体" w:hAnsi="宋体"/>
          <w:color w:val="000000"/>
          <w:sz w:val="24"/>
        </w:rPr>
        <w:sectPr>
          <w:pgSz w:w="16838" w:h="11906" w:orient="landscape"/>
          <w:pgMar w:top="1418" w:right="1985" w:bottom="1418" w:left="1928" w:header="851" w:footer="992" w:gutter="113"/>
          <w:cols w:space="425" w:num="1"/>
          <w:docGrid w:linePitch="312" w:charSpace="0"/>
        </w:sectPr>
      </w:pPr>
    </w:p>
    <w:p>
      <w:pPr>
        <w:pStyle w:val="8"/>
        <w:spacing w:before="240" w:after="360"/>
      </w:pPr>
      <w:bookmarkStart w:id="59" w:name="_Toc499456586"/>
      <w:r>
        <w:rPr>
          <w:rFonts w:hint="eastAsia"/>
        </w:rPr>
        <w:t>A105080</w:t>
      </w:r>
      <w:r>
        <w:tab/>
      </w:r>
      <w:r>
        <w:rPr>
          <w:rFonts w:hint="eastAsia"/>
        </w:rPr>
        <w:t>《资产折旧、摊销及纳税调整明细表》填报说明</w:t>
      </w:r>
      <w:bookmarkEnd w:id="59"/>
    </w:p>
    <w:p>
      <w:pPr>
        <w:pStyle w:val="9"/>
        <w:rPr>
          <w:color w:val="000000"/>
        </w:rPr>
      </w:pPr>
      <w:r>
        <w:rPr>
          <w:rFonts w:hint="eastAsia"/>
          <w:color w:val="000000"/>
        </w:rPr>
        <w:t>本表适用于发生资产折旧、摊销的纳税人，无论是否纳税调整，均须填报。纳税人根据税法、《国家税务总局关于企业固定资产加速折旧所得税处理有关问题的通知》（国税发〔</w:t>
      </w:r>
      <w:r>
        <w:rPr>
          <w:color w:val="000000"/>
        </w:rPr>
        <w:t>2009</w:t>
      </w:r>
      <w:r>
        <w:rPr>
          <w:rFonts w:hint="eastAsia"/>
          <w:color w:val="000000"/>
        </w:rPr>
        <w:t>〕</w:t>
      </w:r>
      <w:r>
        <w:rPr>
          <w:color w:val="000000"/>
        </w:rPr>
        <w:t>81</w:t>
      </w:r>
      <w:r>
        <w:rPr>
          <w:rFonts w:hint="eastAsia"/>
          <w:color w:val="000000"/>
        </w:rPr>
        <w:t>号）、《国家税务总局关于融资性售后回租业务中承租方出售资产行为有关税收问题的公告》（国家税务总局公告</w:t>
      </w:r>
      <w:r>
        <w:rPr>
          <w:color w:val="000000"/>
        </w:rPr>
        <w:t>2010</w:t>
      </w:r>
      <w:r>
        <w:rPr>
          <w:rFonts w:hint="eastAsia"/>
          <w:color w:val="000000"/>
        </w:rPr>
        <w:t>年第</w:t>
      </w:r>
      <w:r>
        <w:rPr>
          <w:color w:val="000000"/>
        </w:rPr>
        <w:t>13</w:t>
      </w:r>
      <w:r>
        <w:rPr>
          <w:rFonts w:hint="eastAsia"/>
          <w:color w:val="000000"/>
        </w:rPr>
        <w:t>号）、《国家税务总局关于企业所得税若干问题的公告》（国家税务总局公告</w:t>
      </w:r>
      <w:r>
        <w:rPr>
          <w:color w:val="000000"/>
        </w:rPr>
        <w:t>2011</w:t>
      </w:r>
      <w:r>
        <w:rPr>
          <w:rFonts w:hint="eastAsia"/>
          <w:color w:val="000000"/>
        </w:rPr>
        <w:t>年第</w:t>
      </w:r>
      <w:r>
        <w:rPr>
          <w:color w:val="000000"/>
        </w:rPr>
        <w:t>34</w:t>
      </w:r>
      <w:r>
        <w:rPr>
          <w:rFonts w:hint="eastAsia"/>
          <w:color w:val="000000"/>
        </w:rPr>
        <w:t>号）、《国家税务总局关于发布〈企业所得税政策性搬迁所得税管理办法〉的公告》（国家税务总局公告</w:t>
      </w:r>
      <w:r>
        <w:rPr>
          <w:color w:val="000000"/>
        </w:rPr>
        <w:t>2012</w:t>
      </w:r>
      <w:r>
        <w:rPr>
          <w:rFonts w:hint="eastAsia"/>
          <w:color w:val="000000"/>
        </w:rPr>
        <w:t>年第</w:t>
      </w:r>
      <w:r>
        <w:rPr>
          <w:color w:val="000000"/>
        </w:rPr>
        <w:t>40</w:t>
      </w:r>
      <w:r>
        <w:rPr>
          <w:rFonts w:hint="eastAsia"/>
          <w:color w:val="000000"/>
        </w:rPr>
        <w:t>号）、《财政部</w:t>
      </w:r>
      <w:r>
        <w:rPr>
          <w:color w:val="000000"/>
        </w:rPr>
        <w:t xml:space="preserve"> </w:t>
      </w:r>
      <w:r>
        <w:rPr>
          <w:rFonts w:hint="eastAsia"/>
          <w:color w:val="000000"/>
        </w:rPr>
        <w:t>国家税务总局关于进一步鼓励软件产业和集成电路产业发展企业所得税政策的通知》（财税〔</w:t>
      </w:r>
      <w:r>
        <w:rPr>
          <w:color w:val="000000"/>
        </w:rPr>
        <w:t>2012</w:t>
      </w:r>
      <w:r>
        <w:rPr>
          <w:rFonts w:hint="eastAsia"/>
          <w:color w:val="000000"/>
        </w:rPr>
        <w:t>〕</w:t>
      </w:r>
      <w:r>
        <w:rPr>
          <w:color w:val="000000"/>
        </w:rPr>
        <w:t>27</w:t>
      </w:r>
      <w:r>
        <w:rPr>
          <w:rFonts w:hint="eastAsia"/>
          <w:color w:val="000000"/>
        </w:rPr>
        <w:t>号）、《国家税务总局关于企业所得税应纳税所得额若干问题的公告》（国家税务总局公告</w:t>
      </w:r>
      <w:r>
        <w:rPr>
          <w:color w:val="000000"/>
        </w:rPr>
        <w:t>2014</w:t>
      </w:r>
      <w:r>
        <w:rPr>
          <w:rFonts w:hint="eastAsia"/>
          <w:color w:val="000000"/>
        </w:rPr>
        <w:t>年第</w:t>
      </w:r>
      <w:r>
        <w:rPr>
          <w:color w:val="000000"/>
        </w:rPr>
        <w:t>29</w:t>
      </w:r>
      <w:r>
        <w:rPr>
          <w:rFonts w:hint="eastAsia"/>
          <w:color w:val="000000"/>
        </w:rPr>
        <w:t>号）、《财政部</w:t>
      </w:r>
      <w:r>
        <w:rPr>
          <w:color w:val="000000"/>
        </w:rPr>
        <w:t xml:space="preserve"> </w:t>
      </w:r>
      <w:r>
        <w:rPr>
          <w:rFonts w:hint="eastAsia"/>
          <w:color w:val="000000"/>
        </w:rPr>
        <w:t>国家税务总局关于完善固定资产加速折旧税收政策有关问题的通知》（财税〔</w:t>
      </w:r>
      <w:r>
        <w:rPr>
          <w:color w:val="000000"/>
        </w:rPr>
        <w:t>2014</w:t>
      </w:r>
      <w:r>
        <w:rPr>
          <w:rFonts w:hint="eastAsia"/>
          <w:color w:val="000000"/>
        </w:rPr>
        <w:t>〕</w:t>
      </w:r>
      <w:r>
        <w:rPr>
          <w:color w:val="000000"/>
        </w:rPr>
        <w:t>75</w:t>
      </w:r>
      <w:r>
        <w:rPr>
          <w:rFonts w:hint="eastAsia"/>
          <w:color w:val="000000"/>
        </w:rPr>
        <w:t>号）、《财政部</w:t>
      </w:r>
      <w:r>
        <w:rPr>
          <w:color w:val="000000"/>
        </w:rPr>
        <w:t xml:space="preserve"> </w:t>
      </w:r>
      <w:r>
        <w:rPr>
          <w:rFonts w:hint="eastAsia"/>
          <w:color w:val="000000"/>
        </w:rPr>
        <w:t>国家税务总局关于进一步完善固定资产加速折旧企业所得税政策的通知》（财税〔</w:t>
      </w:r>
      <w:r>
        <w:rPr>
          <w:color w:val="000000"/>
        </w:rPr>
        <w:t>2015</w:t>
      </w:r>
      <w:r>
        <w:rPr>
          <w:rFonts w:hint="eastAsia"/>
          <w:color w:val="000000"/>
        </w:rPr>
        <w:t>〕</w:t>
      </w:r>
      <w:r>
        <w:rPr>
          <w:color w:val="000000"/>
        </w:rPr>
        <w:t>106</w:t>
      </w:r>
      <w:r>
        <w:rPr>
          <w:rFonts w:hint="eastAsia"/>
          <w:color w:val="000000"/>
        </w:rPr>
        <w:t>号）、《国家税务总局关于全民所有制企业公司制改制企业所得税处理问题的公告》（国家税务总局公告2017年第34号）等相关规定，以及国家统一企业会计制度，填报资产折旧、摊销的会计处理、税收规定，以及纳税调整情况。</w:t>
      </w:r>
    </w:p>
    <w:p>
      <w:pPr>
        <w:pStyle w:val="11"/>
        <w:ind w:firstLine="482"/>
      </w:pPr>
      <w:bookmarkStart w:id="60" w:name="_Toc399769980"/>
      <w:r>
        <w:rPr>
          <w:rFonts w:hint="eastAsia"/>
        </w:rPr>
        <w:t>一、有关项目填报说明</w:t>
      </w:r>
      <w:bookmarkEnd w:id="60"/>
    </w:p>
    <w:p>
      <w:pPr>
        <w:pStyle w:val="12"/>
      </w:pPr>
      <w:r>
        <w:rPr>
          <w:rFonts w:hint="eastAsia"/>
        </w:rPr>
        <w:t>（一）列次填报</w:t>
      </w:r>
    </w:p>
    <w:p>
      <w:pPr>
        <w:pStyle w:val="9"/>
        <w:rPr>
          <w:color w:val="000000"/>
        </w:rPr>
      </w:pPr>
      <w:r>
        <w:rPr>
          <w:color w:val="000000"/>
        </w:rPr>
        <w:t>1.</w:t>
      </w:r>
      <w:r>
        <w:rPr>
          <w:rFonts w:hint="eastAsia"/>
          <w:color w:val="000000"/>
        </w:rPr>
        <w:t>第</w:t>
      </w:r>
      <w:r>
        <w:rPr>
          <w:color w:val="000000"/>
        </w:rPr>
        <w:t>1</w:t>
      </w:r>
      <w:r>
        <w:rPr>
          <w:rFonts w:hint="eastAsia"/>
          <w:color w:val="000000"/>
        </w:rPr>
        <w:t>列“资产原值”：填报纳税人会计处理计提折旧、摊销的资产原值（或历史成本）的金额。</w:t>
      </w:r>
    </w:p>
    <w:p>
      <w:pPr>
        <w:pStyle w:val="9"/>
        <w:rPr>
          <w:color w:val="000000"/>
        </w:rPr>
      </w:pPr>
      <w:r>
        <w:rPr>
          <w:color w:val="000000"/>
        </w:rPr>
        <w:t>2.</w:t>
      </w:r>
      <w:r>
        <w:rPr>
          <w:rFonts w:hint="eastAsia"/>
          <w:color w:val="000000"/>
        </w:rPr>
        <w:t>第</w:t>
      </w:r>
      <w:r>
        <w:rPr>
          <w:color w:val="000000"/>
        </w:rPr>
        <w:t>2</w:t>
      </w:r>
      <w:r>
        <w:rPr>
          <w:rFonts w:hint="eastAsia"/>
          <w:color w:val="000000"/>
        </w:rPr>
        <w:t>列“本年折旧、摊销额”：填报纳税人会计核算的本年资产折旧、摊销额。</w:t>
      </w:r>
    </w:p>
    <w:p>
      <w:pPr>
        <w:pStyle w:val="9"/>
        <w:rPr>
          <w:color w:val="000000"/>
        </w:rPr>
      </w:pPr>
      <w:r>
        <w:rPr>
          <w:color w:val="000000"/>
        </w:rPr>
        <w:t>3.</w:t>
      </w:r>
      <w:r>
        <w:rPr>
          <w:rFonts w:hint="eastAsia"/>
          <w:color w:val="000000"/>
        </w:rPr>
        <w:t>第</w:t>
      </w:r>
      <w:r>
        <w:rPr>
          <w:color w:val="000000"/>
        </w:rPr>
        <w:t>3</w:t>
      </w:r>
      <w:r>
        <w:rPr>
          <w:rFonts w:hint="eastAsia"/>
          <w:color w:val="000000"/>
        </w:rPr>
        <w:t>列“累计折旧、摊销额”：填报纳税人会计核算的累计（含本年）资产折旧、摊销额。</w:t>
      </w:r>
    </w:p>
    <w:p>
      <w:pPr>
        <w:pStyle w:val="9"/>
        <w:rPr>
          <w:color w:val="000000"/>
        </w:rPr>
      </w:pPr>
      <w:r>
        <w:rPr>
          <w:color w:val="000000"/>
        </w:rPr>
        <w:t>4.</w:t>
      </w:r>
      <w:r>
        <w:rPr>
          <w:rFonts w:hint="eastAsia"/>
          <w:color w:val="000000"/>
        </w:rPr>
        <w:t>第</w:t>
      </w:r>
      <w:r>
        <w:rPr>
          <w:color w:val="000000"/>
        </w:rPr>
        <w:t>4</w:t>
      </w:r>
      <w:r>
        <w:rPr>
          <w:rFonts w:hint="eastAsia"/>
          <w:color w:val="000000"/>
        </w:rPr>
        <w:t>列“资产计税基础”：填报纳税人按照税收规定据以计算折旧、摊销的资产原值（或历史成本）的金额。</w:t>
      </w:r>
    </w:p>
    <w:p>
      <w:pPr>
        <w:pStyle w:val="9"/>
        <w:rPr>
          <w:color w:val="000000"/>
        </w:rPr>
      </w:pPr>
      <w:r>
        <w:rPr>
          <w:color w:val="000000"/>
        </w:rPr>
        <w:t>5.</w:t>
      </w:r>
      <w:r>
        <w:rPr>
          <w:rFonts w:hint="eastAsia"/>
          <w:color w:val="000000"/>
        </w:rPr>
        <w:t>第</w:t>
      </w:r>
      <w:r>
        <w:rPr>
          <w:color w:val="000000"/>
        </w:rPr>
        <w:t>5</w:t>
      </w:r>
      <w:r>
        <w:rPr>
          <w:rFonts w:hint="eastAsia"/>
          <w:color w:val="000000"/>
        </w:rPr>
        <w:t>列“税收折旧额”：填报纳税人按照税收规定计算的允许税前扣除的本年资产折旧、摊销额。</w:t>
      </w:r>
    </w:p>
    <w:p>
      <w:pPr>
        <w:pStyle w:val="9"/>
        <w:rPr>
          <w:color w:val="000000"/>
        </w:rPr>
      </w:pPr>
      <w:r>
        <w:rPr>
          <w:rFonts w:hint="eastAsia"/>
          <w:color w:val="000000"/>
        </w:rPr>
        <w:t>对于不征税收入形成的资产，其折旧、摊销额不得税前扣除。第</w:t>
      </w:r>
      <w:r>
        <w:rPr>
          <w:color w:val="000000"/>
        </w:rPr>
        <w:t>4</w:t>
      </w:r>
      <w:r>
        <w:rPr>
          <w:rFonts w:hint="eastAsia"/>
          <w:color w:val="000000"/>
        </w:rPr>
        <w:t>列至第</w:t>
      </w:r>
      <w:r>
        <w:rPr>
          <w:color w:val="000000"/>
        </w:rPr>
        <w:t>8</w:t>
      </w:r>
      <w:r>
        <w:rPr>
          <w:rFonts w:hint="eastAsia"/>
          <w:color w:val="000000"/>
        </w:rPr>
        <w:t>列税收金额不包含不征税收入所形成资产的折旧、摊销额。</w:t>
      </w:r>
    </w:p>
    <w:p>
      <w:pPr>
        <w:pStyle w:val="9"/>
        <w:rPr>
          <w:color w:val="000000"/>
        </w:rPr>
      </w:pPr>
      <w:r>
        <w:rPr>
          <w:rFonts w:hint="eastAsia"/>
          <w:color w:val="000000"/>
        </w:rPr>
        <w:t>对于第</w:t>
      </w:r>
      <w:r>
        <w:rPr>
          <w:color w:val="000000"/>
        </w:rPr>
        <w:t>8</w:t>
      </w:r>
      <w:r>
        <w:rPr>
          <w:rFonts w:hint="eastAsia"/>
          <w:color w:val="000000"/>
        </w:rPr>
        <w:t>行至第</w:t>
      </w:r>
      <w:r>
        <w:rPr>
          <w:color w:val="000000"/>
        </w:rPr>
        <w:t>17</w:t>
      </w:r>
      <w:r>
        <w:rPr>
          <w:rFonts w:hint="eastAsia"/>
          <w:color w:val="000000"/>
        </w:rPr>
        <w:t>行、第</w:t>
      </w:r>
      <w:r>
        <w:rPr>
          <w:color w:val="000000"/>
        </w:rPr>
        <w:t>29</w:t>
      </w:r>
      <w:r>
        <w:rPr>
          <w:rFonts w:hint="eastAsia"/>
          <w:color w:val="000000"/>
        </w:rPr>
        <w:t>行对应的“税收折旧额”，填报享受各种加速折旧政策的资产，当年享受加速折旧后的税法折旧额合计。本列仅填报加速后的税法折旧额大于一般折旧额月份的金额合计。即对于本年度某些月份，享受加速折旧政策的固定资产，其加速后的税法折旧额大于一般折旧额、某些月份税法折旧额小于一般折旧额的，仅填报税法折旧额大于一般折旧额月份的税法折旧额合计。</w:t>
      </w:r>
    </w:p>
    <w:p>
      <w:pPr>
        <w:pStyle w:val="9"/>
        <w:rPr>
          <w:color w:val="000000"/>
        </w:rPr>
      </w:pPr>
      <w:r>
        <w:rPr>
          <w:color w:val="000000"/>
        </w:rPr>
        <w:t>6.</w:t>
      </w:r>
      <w:r>
        <w:rPr>
          <w:rFonts w:hint="eastAsia"/>
          <w:color w:val="000000"/>
        </w:rPr>
        <w:t>第</w:t>
      </w:r>
      <w:r>
        <w:rPr>
          <w:color w:val="000000"/>
        </w:rPr>
        <w:t>6</w:t>
      </w:r>
      <w:r>
        <w:rPr>
          <w:rFonts w:hint="eastAsia"/>
          <w:color w:val="000000"/>
        </w:rPr>
        <w:t>列“享受加速折旧政策的资产按税收一般规定计算的折旧、摊销额”：仅适用于第</w:t>
      </w:r>
      <w:r>
        <w:rPr>
          <w:color w:val="000000"/>
        </w:rPr>
        <w:t>8</w:t>
      </w:r>
      <w:r>
        <w:rPr>
          <w:rFonts w:hint="eastAsia"/>
          <w:color w:val="000000"/>
        </w:rPr>
        <w:t>行至第</w:t>
      </w:r>
      <w:r>
        <w:rPr>
          <w:color w:val="000000"/>
        </w:rPr>
        <w:t>17</w:t>
      </w:r>
      <w:r>
        <w:rPr>
          <w:rFonts w:hint="eastAsia"/>
          <w:color w:val="000000"/>
        </w:rPr>
        <w:t>行、第</w:t>
      </w:r>
      <w:r>
        <w:rPr>
          <w:color w:val="000000"/>
        </w:rPr>
        <w:t>29</w:t>
      </w:r>
      <w:r>
        <w:rPr>
          <w:rFonts w:hint="eastAsia"/>
          <w:color w:val="000000"/>
        </w:rPr>
        <w:t>行，填报纳税人享受加速折旧政策的资产按照税法一般规定计算的允许税前扣除的本年资产折旧、摊销额。按照税法一般规定计算的折旧额，是指该资产在不享受加速折旧情况下，按照税收规定的最低折旧年限以直线法计算的折旧额。本列仅填报加速后的税法折旧额大于按照税法一般规定计算折旧额对应月份的金额。</w:t>
      </w:r>
    </w:p>
    <w:p>
      <w:pPr>
        <w:pStyle w:val="9"/>
        <w:rPr>
          <w:color w:val="000000"/>
        </w:rPr>
      </w:pPr>
      <w:r>
        <w:rPr>
          <w:color w:val="000000"/>
        </w:rPr>
        <w:t>7.</w:t>
      </w:r>
      <w:r>
        <w:rPr>
          <w:rFonts w:hint="eastAsia"/>
          <w:color w:val="000000"/>
        </w:rPr>
        <w:t>第</w:t>
      </w:r>
      <w:r>
        <w:rPr>
          <w:color w:val="000000"/>
        </w:rPr>
        <w:t>7</w:t>
      </w:r>
      <w:r>
        <w:rPr>
          <w:rFonts w:hint="eastAsia"/>
          <w:color w:val="000000"/>
        </w:rPr>
        <w:t>列“加速折旧统计额”：用于统计纳税人享受各类固定资产加速折旧政策的优惠金额。</w:t>
      </w:r>
    </w:p>
    <w:p>
      <w:pPr>
        <w:pStyle w:val="9"/>
        <w:rPr>
          <w:color w:val="000000"/>
        </w:rPr>
      </w:pPr>
      <w:r>
        <w:rPr>
          <w:color w:val="000000"/>
        </w:rPr>
        <w:t>8.</w:t>
      </w:r>
      <w:r>
        <w:rPr>
          <w:rFonts w:hint="eastAsia"/>
          <w:color w:val="000000"/>
        </w:rPr>
        <w:t>第</w:t>
      </w:r>
      <w:r>
        <w:rPr>
          <w:color w:val="000000"/>
        </w:rPr>
        <w:t>8</w:t>
      </w:r>
      <w:r>
        <w:rPr>
          <w:rFonts w:hint="eastAsia"/>
          <w:color w:val="000000"/>
        </w:rPr>
        <w:t>列“累计折旧、摊销额”：填报纳税人按照税收规定计算的累计（含本年）资产折旧、摊销额。</w:t>
      </w:r>
    </w:p>
    <w:p>
      <w:pPr>
        <w:pStyle w:val="9"/>
        <w:rPr>
          <w:color w:val="000000"/>
        </w:rPr>
      </w:pPr>
      <w:r>
        <w:rPr>
          <w:color w:val="000000"/>
        </w:rPr>
        <w:t>9.</w:t>
      </w:r>
      <w:r>
        <w:rPr>
          <w:rFonts w:hint="eastAsia"/>
          <w:color w:val="000000"/>
        </w:rPr>
        <w:t>第</w:t>
      </w:r>
      <w:r>
        <w:rPr>
          <w:color w:val="000000"/>
        </w:rPr>
        <w:t>9</w:t>
      </w:r>
      <w:r>
        <w:rPr>
          <w:rFonts w:hint="eastAsia"/>
          <w:color w:val="000000"/>
        </w:rPr>
        <w:t>列“纳税调整金额”：填报第</w:t>
      </w:r>
      <w:r>
        <w:rPr>
          <w:color w:val="000000"/>
        </w:rPr>
        <w:t>2-5</w:t>
      </w:r>
      <w:r>
        <w:rPr>
          <w:rFonts w:hint="eastAsia"/>
          <w:color w:val="000000"/>
        </w:rPr>
        <w:t>列的余额。</w:t>
      </w:r>
    </w:p>
    <w:p>
      <w:pPr>
        <w:pStyle w:val="12"/>
      </w:pPr>
      <w:r>
        <w:rPr>
          <w:rFonts w:hint="eastAsia"/>
        </w:rPr>
        <w:t>（二）行次填报</w:t>
      </w:r>
    </w:p>
    <w:p>
      <w:pPr>
        <w:pStyle w:val="9"/>
        <w:rPr>
          <w:color w:val="000000"/>
        </w:rPr>
      </w:pPr>
      <w:r>
        <w:rPr>
          <w:color w:val="000000"/>
        </w:rPr>
        <w:t>1.</w:t>
      </w:r>
      <w:r>
        <w:rPr>
          <w:rFonts w:hint="eastAsia"/>
          <w:color w:val="000000"/>
        </w:rPr>
        <w:t>第</w:t>
      </w:r>
      <w:r>
        <w:rPr>
          <w:color w:val="000000"/>
        </w:rPr>
        <w:t>2</w:t>
      </w:r>
      <w:r>
        <w:rPr>
          <w:rFonts w:hint="eastAsia"/>
          <w:color w:val="000000"/>
        </w:rPr>
        <w:t>行至第</w:t>
      </w:r>
      <w:r>
        <w:rPr>
          <w:color w:val="000000"/>
        </w:rPr>
        <w:t>7</w:t>
      </w:r>
      <w:r>
        <w:rPr>
          <w:rFonts w:hint="eastAsia"/>
          <w:color w:val="000000"/>
        </w:rPr>
        <w:t>行、第</w:t>
      </w:r>
      <w:r>
        <w:rPr>
          <w:color w:val="000000"/>
        </w:rPr>
        <w:t>19行至第20</w:t>
      </w:r>
      <w:r>
        <w:rPr>
          <w:rFonts w:hint="eastAsia"/>
          <w:color w:val="000000"/>
        </w:rPr>
        <w:t>行、第</w:t>
      </w:r>
      <w:r>
        <w:rPr>
          <w:color w:val="000000"/>
        </w:rPr>
        <w:t>22行至第28</w:t>
      </w:r>
      <w:r>
        <w:rPr>
          <w:rFonts w:hint="eastAsia"/>
          <w:color w:val="000000"/>
        </w:rPr>
        <w:t>行、第</w:t>
      </w:r>
      <w:r>
        <w:rPr>
          <w:color w:val="000000"/>
        </w:rPr>
        <w:t>30</w:t>
      </w:r>
      <w:r>
        <w:rPr>
          <w:rFonts w:hint="eastAsia"/>
          <w:color w:val="000000"/>
        </w:rPr>
        <w:t>行、第</w:t>
      </w:r>
      <w:r>
        <w:rPr>
          <w:color w:val="000000"/>
        </w:rPr>
        <w:t>32行至第38</w:t>
      </w:r>
      <w:r>
        <w:rPr>
          <w:rFonts w:hint="eastAsia"/>
          <w:color w:val="000000"/>
        </w:rPr>
        <w:t>行，根据资产类别填报对应的行次。</w:t>
      </w:r>
    </w:p>
    <w:p>
      <w:pPr>
        <w:pStyle w:val="9"/>
        <w:rPr>
          <w:color w:val="000000"/>
        </w:rPr>
      </w:pPr>
      <w:r>
        <w:rPr>
          <w:color w:val="000000"/>
        </w:rPr>
        <w:t>2.</w:t>
      </w:r>
      <w:r>
        <w:rPr>
          <w:rFonts w:hint="eastAsia"/>
          <w:color w:val="000000"/>
        </w:rPr>
        <w:t>第</w:t>
      </w:r>
      <w:r>
        <w:rPr>
          <w:color w:val="000000"/>
        </w:rPr>
        <w:t>8行至第17</w:t>
      </w:r>
      <w:r>
        <w:rPr>
          <w:rFonts w:hint="eastAsia"/>
          <w:color w:val="000000"/>
        </w:rPr>
        <w:t>行、第</w:t>
      </w:r>
      <w:r>
        <w:rPr>
          <w:color w:val="000000"/>
        </w:rPr>
        <w:t>29</w:t>
      </w:r>
      <w:r>
        <w:rPr>
          <w:rFonts w:hint="eastAsia"/>
          <w:color w:val="000000"/>
        </w:rPr>
        <w:t>行：用于填报享受各类固定资产加速折旧政策的资产加速折旧情况，分类填报各项固定资产加速折旧政策优惠情况。</w:t>
      </w:r>
    </w:p>
    <w:p>
      <w:pPr>
        <w:pStyle w:val="9"/>
        <w:rPr>
          <w:color w:val="000000"/>
        </w:rPr>
      </w:pPr>
      <w:r>
        <w:rPr>
          <w:rFonts w:hint="eastAsia"/>
          <w:color w:val="000000"/>
        </w:rPr>
        <w:t>第</w:t>
      </w:r>
      <w:r>
        <w:rPr>
          <w:color w:val="000000"/>
        </w:rPr>
        <w:t>8</w:t>
      </w:r>
      <w:r>
        <w:rPr>
          <w:rFonts w:hint="eastAsia"/>
          <w:color w:val="000000"/>
        </w:rPr>
        <w:t>行“（一）重要行业固定资产加速折旧”：填报按照财税〔</w:t>
      </w:r>
      <w:r>
        <w:rPr>
          <w:color w:val="000000"/>
        </w:rPr>
        <w:t>2014</w:t>
      </w:r>
      <w:r>
        <w:rPr>
          <w:rFonts w:hint="eastAsia"/>
          <w:color w:val="000000"/>
        </w:rPr>
        <w:t>〕</w:t>
      </w:r>
      <w:r>
        <w:rPr>
          <w:color w:val="000000"/>
        </w:rPr>
        <w:t>75</w:t>
      </w:r>
      <w:r>
        <w:rPr>
          <w:rFonts w:hint="eastAsia"/>
          <w:color w:val="000000"/>
        </w:rPr>
        <w:t>号和财税〔</w:t>
      </w:r>
      <w:r>
        <w:rPr>
          <w:color w:val="000000"/>
        </w:rPr>
        <w:t>2015</w:t>
      </w:r>
      <w:r>
        <w:rPr>
          <w:rFonts w:hint="eastAsia"/>
          <w:color w:val="000000"/>
        </w:rPr>
        <w:t>〕</w:t>
      </w:r>
      <w:r>
        <w:rPr>
          <w:color w:val="000000"/>
        </w:rPr>
        <w:t>106</w:t>
      </w:r>
      <w:r>
        <w:rPr>
          <w:rFonts w:hint="eastAsia"/>
          <w:color w:val="000000"/>
        </w:rPr>
        <w:t>号文件规定，生物药品制造业，专用设备制造业，铁路、船舶、航空航天和其他运输设备制造业，计算机、通信和其他电子设备制造业，仪器仪表制造业，信息传输、软件和信息技术服务业</w:t>
      </w:r>
      <w:r>
        <w:rPr>
          <w:color w:val="000000"/>
        </w:rPr>
        <w:t>6</w:t>
      </w:r>
      <w:r>
        <w:rPr>
          <w:rFonts w:hint="eastAsia"/>
          <w:color w:val="000000"/>
        </w:rPr>
        <w:t>个行业，以及轻工、纺织、机械、汽车四大领域</w:t>
      </w:r>
      <w:r>
        <w:rPr>
          <w:color w:val="000000"/>
        </w:rPr>
        <w:t>18</w:t>
      </w:r>
      <w:r>
        <w:rPr>
          <w:rFonts w:hint="eastAsia"/>
          <w:color w:val="000000"/>
        </w:rPr>
        <w:t>个行业的纳税人（简称“重要行业”），对于新购进固定资产在税收上采取加速折旧的情况。该行次不填报重要行业纳税人按照以上两个文件规定，享受一次性扣除政策的资产。</w:t>
      </w:r>
    </w:p>
    <w:p>
      <w:pPr>
        <w:pStyle w:val="9"/>
        <w:rPr>
          <w:color w:val="000000"/>
        </w:rPr>
      </w:pPr>
      <w:r>
        <w:rPr>
          <w:rFonts w:hint="eastAsia"/>
          <w:color w:val="000000"/>
        </w:rPr>
        <w:t>第</w:t>
      </w:r>
      <w:r>
        <w:rPr>
          <w:color w:val="000000"/>
        </w:rPr>
        <w:t>9</w:t>
      </w:r>
      <w:r>
        <w:rPr>
          <w:rFonts w:hint="eastAsia"/>
          <w:color w:val="000000"/>
        </w:rPr>
        <w:t>行“（二）其他行业研发设备加速折旧”：由重要行业以外的其他企业填报。填写单位价值超过</w:t>
      </w:r>
      <w:r>
        <w:rPr>
          <w:color w:val="000000"/>
        </w:rPr>
        <w:t>100</w:t>
      </w:r>
      <w:r>
        <w:rPr>
          <w:rFonts w:hint="eastAsia"/>
          <w:color w:val="000000"/>
        </w:rPr>
        <w:t>万元以上专用研发设备采取缩短折旧年限或加速折旧方法的纳税调减或者加速折旧优惠统计情况。</w:t>
      </w:r>
    </w:p>
    <w:p>
      <w:pPr>
        <w:pStyle w:val="9"/>
        <w:rPr>
          <w:color w:val="000000"/>
        </w:rPr>
      </w:pPr>
      <w:r>
        <w:rPr>
          <w:rFonts w:hint="eastAsia"/>
          <w:color w:val="000000"/>
        </w:rPr>
        <w:t>第</w:t>
      </w:r>
      <w:r>
        <w:rPr>
          <w:color w:val="000000"/>
        </w:rPr>
        <w:t>10</w:t>
      </w:r>
      <w:r>
        <w:rPr>
          <w:rFonts w:hint="eastAsia"/>
          <w:color w:val="000000"/>
        </w:rPr>
        <w:t>行“（三）允许一次性扣除的固定资产”：填报新购进单位价值不超过</w:t>
      </w:r>
      <w:r>
        <w:rPr>
          <w:color w:val="000000"/>
        </w:rPr>
        <w:t>100</w:t>
      </w:r>
      <w:r>
        <w:rPr>
          <w:rFonts w:hint="eastAsia"/>
          <w:color w:val="000000"/>
        </w:rPr>
        <w:t>万元研发设备和单位价值不超过</w:t>
      </w:r>
      <w:r>
        <w:rPr>
          <w:color w:val="000000"/>
        </w:rPr>
        <w:t>5000</w:t>
      </w:r>
      <w:r>
        <w:rPr>
          <w:rFonts w:hint="eastAsia"/>
          <w:color w:val="000000"/>
        </w:rPr>
        <w:t>元固定资产，按照税收规定一次性在当期扣除金额。本行</w:t>
      </w:r>
      <w:r>
        <w:rPr>
          <w:color w:val="000000"/>
        </w:rPr>
        <w:t>＝</w:t>
      </w:r>
      <w:r>
        <w:rPr>
          <w:rFonts w:hint="eastAsia"/>
          <w:color w:val="000000"/>
        </w:rPr>
        <w:t>第</w:t>
      </w:r>
      <w:r>
        <w:rPr>
          <w:color w:val="000000"/>
        </w:rPr>
        <w:t>11+12+13</w:t>
      </w:r>
      <w:r>
        <w:rPr>
          <w:rFonts w:hint="eastAsia"/>
          <w:color w:val="000000"/>
        </w:rPr>
        <w:t>行。</w:t>
      </w:r>
    </w:p>
    <w:p>
      <w:pPr>
        <w:pStyle w:val="9"/>
        <w:rPr>
          <w:color w:val="000000"/>
        </w:rPr>
      </w:pPr>
      <w:r>
        <w:rPr>
          <w:rFonts w:hint="eastAsia"/>
          <w:color w:val="000000"/>
        </w:rPr>
        <w:t>第</w:t>
      </w:r>
      <w:r>
        <w:rPr>
          <w:color w:val="000000"/>
        </w:rPr>
        <w:t>11</w:t>
      </w:r>
      <w:r>
        <w:rPr>
          <w:rFonts w:hint="eastAsia"/>
          <w:color w:val="000000"/>
        </w:rPr>
        <w:t>行“1.单价不超过</w:t>
      </w:r>
      <w:r>
        <w:rPr>
          <w:color w:val="000000"/>
        </w:rPr>
        <w:t>100</w:t>
      </w:r>
      <w:r>
        <w:rPr>
          <w:rFonts w:hint="eastAsia"/>
          <w:color w:val="000000"/>
        </w:rPr>
        <w:t>万元专用研发设备”：填报“重要行业”中的非小型微利企业和“重要行业”以外的企业，对新购进专门用于研发活动的仪器、设备，单位价值不超过</w:t>
      </w:r>
      <w:r>
        <w:rPr>
          <w:color w:val="000000"/>
        </w:rPr>
        <w:t>100</w:t>
      </w:r>
      <w:r>
        <w:rPr>
          <w:rFonts w:hint="eastAsia"/>
          <w:color w:val="000000"/>
        </w:rPr>
        <w:t>万元的，享受一次性扣除政策的有关情况。</w:t>
      </w:r>
    </w:p>
    <w:p>
      <w:pPr>
        <w:pStyle w:val="9"/>
        <w:rPr>
          <w:color w:val="000000"/>
        </w:rPr>
      </w:pPr>
      <w:r>
        <w:rPr>
          <w:rFonts w:hint="eastAsia"/>
          <w:color w:val="000000"/>
        </w:rPr>
        <w:t>第</w:t>
      </w:r>
      <w:r>
        <w:rPr>
          <w:color w:val="000000"/>
        </w:rPr>
        <w:t>12</w:t>
      </w:r>
      <w:r>
        <w:rPr>
          <w:rFonts w:hint="eastAsia"/>
          <w:color w:val="000000"/>
        </w:rPr>
        <w:t>行“2.重要行业小型微利企业单价不超过</w:t>
      </w:r>
      <w:r>
        <w:rPr>
          <w:color w:val="000000"/>
        </w:rPr>
        <w:t>100</w:t>
      </w:r>
      <w:r>
        <w:rPr>
          <w:rFonts w:hint="eastAsia"/>
          <w:color w:val="000000"/>
        </w:rPr>
        <w:t>万元研发生产共用设备”：填报“重要行业”中的小型微利企业，对其新购进研发和生产经营共用的仪器、设备，单位价值不超过</w:t>
      </w:r>
      <w:r>
        <w:rPr>
          <w:color w:val="000000"/>
        </w:rPr>
        <w:t>100</w:t>
      </w:r>
      <w:r>
        <w:rPr>
          <w:rFonts w:hint="eastAsia"/>
          <w:color w:val="000000"/>
        </w:rPr>
        <w:t>万元的，享受一次性扣除政策的有关情况。</w:t>
      </w:r>
    </w:p>
    <w:p>
      <w:pPr>
        <w:pStyle w:val="9"/>
        <w:rPr>
          <w:color w:val="000000"/>
        </w:rPr>
      </w:pPr>
      <w:r>
        <w:rPr>
          <w:rFonts w:hint="eastAsia"/>
          <w:color w:val="000000"/>
        </w:rPr>
        <w:t>第</w:t>
      </w:r>
      <w:r>
        <w:rPr>
          <w:color w:val="000000"/>
        </w:rPr>
        <w:t>13</w:t>
      </w:r>
      <w:r>
        <w:rPr>
          <w:rFonts w:hint="eastAsia"/>
          <w:color w:val="000000"/>
        </w:rPr>
        <w:t>行“3.</w:t>
      </w:r>
      <w:r>
        <w:rPr>
          <w:color w:val="000000"/>
        </w:rPr>
        <w:t>5000</w:t>
      </w:r>
      <w:r>
        <w:rPr>
          <w:rFonts w:hint="eastAsia"/>
          <w:color w:val="000000"/>
        </w:rPr>
        <w:t>元以下固定资产”：填写纳税人单位价值不超过</w:t>
      </w:r>
      <w:r>
        <w:rPr>
          <w:color w:val="000000"/>
        </w:rPr>
        <w:t>5000</w:t>
      </w:r>
      <w:r>
        <w:rPr>
          <w:rFonts w:hint="eastAsia"/>
          <w:color w:val="000000"/>
        </w:rPr>
        <w:t>元的固定资产，按照政策规定一次性在当期税前扣除的有关情况。</w:t>
      </w:r>
    </w:p>
    <w:p>
      <w:pPr>
        <w:pStyle w:val="9"/>
        <w:rPr>
          <w:color w:val="000000"/>
        </w:rPr>
      </w:pPr>
      <w:r>
        <w:rPr>
          <w:rFonts w:hint="eastAsia"/>
          <w:color w:val="000000"/>
        </w:rPr>
        <w:t>第</w:t>
      </w:r>
      <w:r>
        <w:rPr>
          <w:color w:val="000000"/>
        </w:rPr>
        <w:t>14</w:t>
      </w:r>
      <w:r>
        <w:rPr>
          <w:rFonts w:hint="eastAsia"/>
          <w:color w:val="000000"/>
        </w:rPr>
        <w:t>行“（四）技术进步、更新换代固定资产”：填写企业固定资产因技术进步，产品更新换代较快，按税收规定享受固定资产加速折旧的有关情况。</w:t>
      </w:r>
    </w:p>
    <w:p>
      <w:pPr>
        <w:pStyle w:val="9"/>
        <w:rPr>
          <w:color w:val="000000"/>
        </w:rPr>
      </w:pPr>
      <w:r>
        <w:rPr>
          <w:rFonts w:hint="eastAsia"/>
          <w:color w:val="000000"/>
        </w:rPr>
        <w:t>第</w:t>
      </w:r>
      <w:r>
        <w:rPr>
          <w:color w:val="000000"/>
        </w:rPr>
        <w:t>15</w:t>
      </w:r>
      <w:r>
        <w:rPr>
          <w:rFonts w:hint="eastAsia"/>
          <w:color w:val="000000"/>
        </w:rPr>
        <w:t>行“（五）常年强震动、高腐蚀固定资产”：填写常年处于强震动、高腐蚀状态的固定资产，按税收规定享受固定资产加速折旧有关情况。</w:t>
      </w:r>
    </w:p>
    <w:p>
      <w:pPr>
        <w:pStyle w:val="9"/>
        <w:rPr>
          <w:color w:val="000000"/>
        </w:rPr>
      </w:pPr>
      <w:r>
        <w:rPr>
          <w:rFonts w:hint="eastAsia"/>
          <w:color w:val="000000"/>
        </w:rPr>
        <w:t>第</w:t>
      </w:r>
      <w:r>
        <w:rPr>
          <w:color w:val="000000"/>
        </w:rPr>
        <w:t>16</w:t>
      </w:r>
      <w:r>
        <w:rPr>
          <w:rFonts w:hint="eastAsia"/>
          <w:color w:val="000000"/>
        </w:rPr>
        <w:t>行“（六）外购软件折旧”：填写企业外购软件作为固定资产处理，按财税〔</w:t>
      </w:r>
      <w:r>
        <w:rPr>
          <w:color w:val="000000"/>
        </w:rPr>
        <w:t>2012</w:t>
      </w:r>
      <w:r>
        <w:rPr>
          <w:rFonts w:hint="eastAsia"/>
          <w:color w:val="000000"/>
        </w:rPr>
        <w:t>〕</w:t>
      </w:r>
      <w:r>
        <w:rPr>
          <w:color w:val="000000"/>
        </w:rPr>
        <w:t>27</w:t>
      </w:r>
      <w:r>
        <w:rPr>
          <w:rFonts w:hint="eastAsia"/>
          <w:color w:val="000000"/>
        </w:rPr>
        <w:t>号文件规定享受加速折旧的有关情况。</w:t>
      </w:r>
    </w:p>
    <w:p>
      <w:pPr>
        <w:pStyle w:val="9"/>
        <w:rPr>
          <w:color w:val="000000"/>
        </w:rPr>
      </w:pPr>
      <w:r>
        <w:rPr>
          <w:rFonts w:hint="eastAsia"/>
          <w:color w:val="000000"/>
        </w:rPr>
        <w:t>第</w:t>
      </w:r>
      <w:r>
        <w:rPr>
          <w:color w:val="000000"/>
        </w:rPr>
        <w:t>17</w:t>
      </w:r>
      <w:r>
        <w:rPr>
          <w:rFonts w:hint="eastAsia"/>
          <w:color w:val="000000"/>
        </w:rPr>
        <w:t>行“（七）集成电路企业生产设备”：填报集成电路生产企业的生产设备，按照财税〔</w:t>
      </w:r>
      <w:r>
        <w:rPr>
          <w:color w:val="000000"/>
        </w:rPr>
        <w:t>2012</w:t>
      </w:r>
      <w:r>
        <w:rPr>
          <w:rFonts w:hint="eastAsia"/>
          <w:color w:val="000000"/>
        </w:rPr>
        <w:t>〕</w:t>
      </w:r>
      <w:r>
        <w:rPr>
          <w:color w:val="000000"/>
        </w:rPr>
        <w:t>27</w:t>
      </w:r>
      <w:r>
        <w:rPr>
          <w:rFonts w:hint="eastAsia"/>
          <w:color w:val="000000"/>
        </w:rPr>
        <w:t>号文件规定享受加速折旧政策的有关情况。</w:t>
      </w:r>
    </w:p>
    <w:p>
      <w:pPr>
        <w:pStyle w:val="9"/>
        <w:rPr>
          <w:color w:val="000000"/>
        </w:rPr>
      </w:pPr>
      <w:r>
        <w:rPr>
          <w:rFonts w:hint="eastAsia"/>
          <w:color w:val="000000"/>
        </w:rPr>
        <w:t>第</w:t>
      </w:r>
      <w:r>
        <w:rPr>
          <w:color w:val="000000"/>
        </w:rPr>
        <w:t>29</w:t>
      </w:r>
      <w:r>
        <w:rPr>
          <w:rFonts w:hint="eastAsia"/>
          <w:color w:val="000000"/>
        </w:rPr>
        <w:t>行“其中：享受企业外购软件加速摊销政策”：填写企业外购软件作无形资产处理，按财税〔</w:t>
      </w:r>
      <w:r>
        <w:rPr>
          <w:color w:val="000000"/>
        </w:rPr>
        <w:t>2012</w:t>
      </w:r>
      <w:r>
        <w:rPr>
          <w:rFonts w:hint="eastAsia"/>
          <w:color w:val="000000"/>
        </w:rPr>
        <w:t>〕</w:t>
      </w:r>
      <w:r>
        <w:rPr>
          <w:color w:val="000000"/>
        </w:rPr>
        <w:t>27</w:t>
      </w:r>
      <w:r>
        <w:rPr>
          <w:rFonts w:hint="eastAsia"/>
          <w:color w:val="000000"/>
        </w:rPr>
        <w:t>号文件规定享受加速摊销的有关情况。</w:t>
      </w:r>
    </w:p>
    <w:p>
      <w:pPr>
        <w:pStyle w:val="9"/>
        <w:rPr>
          <w:color w:val="000000"/>
        </w:rPr>
      </w:pPr>
      <w:r>
        <w:rPr>
          <w:rFonts w:hint="eastAsia"/>
          <w:color w:val="000000"/>
        </w:rPr>
        <w:t>附列资料“享受全民所有制改制资产评估增值政策资产”：填写企业按照国家税务总局公告</w:t>
      </w:r>
      <w:r>
        <w:rPr>
          <w:color w:val="000000"/>
        </w:rPr>
        <w:t>2017</w:t>
      </w:r>
      <w:r>
        <w:rPr>
          <w:rFonts w:hint="eastAsia"/>
          <w:color w:val="000000"/>
        </w:rPr>
        <w:t>年第</w:t>
      </w:r>
      <w:r>
        <w:rPr>
          <w:color w:val="000000"/>
        </w:rPr>
        <w:t>34</w:t>
      </w:r>
      <w:r>
        <w:rPr>
          <w:rFonts w:hint="eastAsia"/>
          <w:color w:val="000000"/>
        </w:rPr>
        <w:t>号文件规定，执行“改制中资产评估增值不计入应纳税所得额；资产的计税基础按其原有计税基础确定；资产增值部分的折旧或者摊销不得在税前扣除”政策的情况。本行不参与计算，仅用于列示享受全民所有制改制资产评估增值政策资产的有关情况，相关资产折旧（摊销）及调整情况在本表第1行至第39行按规定填报。</w:t>
      </w:r>
    </w:p>
    <w:p>
      <w:pPr>
        <w:pStyle w:val="11"/>
        <w:ind w:firstLine="482"/>
      </w:pPr>
      <w:bookmarkStart w:id="61" w:name="_Toc399769981"/>
      <w:r>
        <w:rPr>
          <w:rFonts w:hint="eastAsia"/>
        </w:rPr>
        <w:t>二、表内、表间关系</w:t>
      </w:r>
      <w:bookmarkEnd w:id="61"/>
    </w:p>
    <w:p>
      <w:pPr>
        <w:pStyle w:val="12"/>
      </w:pPr>
      <w:r>
        <w:rPr>
          <w:rFonts w:hint="eastAsia"/>
        </w:rPr>
        <w:t>（一）表内关系</w:t>
      </w:r>
    </w:p>
    <w:p>
      <w:pPr>
        <w:pStyle w:val="9"/>
        <w:rPr>
          <w:color w:val="000000"/>
        </w:rPr>
      </w:pPr>
      <w:r>
        <w:rPr>
          <w:color w:val="000000"/>
        </w:rPr>
        <w:t>1.</w:t>
      </w:r>
      <w:r>
        <w:rPr>
          <w:rFonts w:hint="eastAsia"/>
          <w:color w:val="000000"/>
        </w:rPr>
        <w:t>第</w:t>
      </w:r>
      <w:r>
        <w:rPr>
          <w:color w:val="000000"/>
        </w:rPr>
        <w:t>1</w:t>
      </w:r>
      <w:r>
        <w:rPr>
          <w:rFonts w:hint="eastAsia"/>
          <w:color w:val="000000"/>
        </w:rPr>
        <w:t>行＝第</w:t>
      </w:r>
      <w:r>
        <w:rPr>
          <w:color w:val="000000"/>
        </w:rPr>
        <w:t>2+3+</w:t>
      </w:r>
      <w:r>
        <w:rPr>
          <w:rFonts w:hint="eastAsia"/>
          <w:color w:val="000000"/>
        </w:rPr>
        <w:t>…</w:t>
      </w:r>
      <w:r>
        <w:rPr>
          <w:color w:val="000000"/>
        </w:rPr>
        <w:t>+7</w:t>
      </w:r>
      <w:r>
        <w:rPr>
          <w:rFonts w:hint="eastAsia"/>
          <w:color w:val="000000"/>
        </w:rPr>
        <w:t>行。</w:t>
      </w:r>
    </w:p>
    <w:p>
      <w:pPr>
        <w:pStyle w:val="9"/>
        <w:rPr>
          <w:color w:val="000000"/>
        </w:rPr>
      </w:pPr>
      <w:r>
        <w:rPr>
          <w:color w:val="000000"/>
        </w:rPr>
        <w:t>2.</w:t>
      </w:r>
      <w:r>
        <w:rPr>
          <w:rFonts w:hint="eastAsia"/>
          <w:color w:val="000000"/>
        </w:rPr>
        <w:t>第</w:t>
      </w:r>
      <w:r>
        <w:rPr>
          <w:color w:val="000000"/>
        </w:rPr>
        <w:t>10</w:t>
      </w:r>
      <w:r>
        <w:rPr>
          <w:rFonts w:hint="eastAsia"/>
          <w:color w:val="000000"/>
        </w:rPr>
        <w:t>行＝第</w:t>
      </w:r>
      <w:r>
        <w:rPr>
          <w:color w:val="000000"/>
        </w:rPr>
        <w:t>11+12+13</w:t>
      </w:r>
      <w:r>
        <w:rPr>
          <w:rFonts w:hint="eastAsia"/>
          <w:color w:val="000000"/>
        </w:rPr>
        <w:t>行。</w:t>
      </w:r>
    </w:p>
    <w:p>
      <w:pPr>
        <w:pStyle w:val="9"/>
        <w:rPr>
          <w:color w:val="000000"/>
        </w:rPr>
      </w:pPr>
      <w:r>
        <w:rPr>
          <w:color w:val="000000"/>
        </w:rPr>
        <w:t>3.</w:t>
      </w:r>
      <w:r>
        <w:rPr>
          <w:rFonts w:hint="eastAsia"/>
          <w:color w:val="000000"/>
        </w:rPr>
        <w:t>第</w:t>
      </w:r>
      <w:r>
        <w:rPr>
          <w:color w:val="000000"/>
        </w:rPr>
        <w:t>18</w:t>
      </w:r>
      <w:r>
        <w:rPr>
          <w:rFonts w:hint="eastAsia"/>
          <w:color w:val="000000"/>
        </w:rPr>
        <w:t>行＝第</w:t>
      </w:r>
      <w:r>
        <w:rPr>
          <w:color w:val="000000"/>
        </w:rPr>
        <w:t>19+20</w:t>
      </w:r>
      <w:r>
        <w:rPr>
          <w:rFonts w:hint="eastAsia"/>
          <w:color w:val="000000"/>
        </w:rPr>
        <w:t>行。</w:t>
      </w:r>
    </w:p>
    <w:p>
      <w:pPr>
        <w:pStyle w:val="9"/>
        <w:rPr>
          <w:color w:val="000000"/>
        </w:rPr>
      </w:pPr>
      <w:r>
        <w:rPr>
          <w:color w:val="000000"/>
        </w:rPr>
        <w:t>4.</w:t>
      </w:r>
      <w:r>
        <w:rPr>
          <w:rFonts w:hint="eastAsia"/>
          <w:color w:val="000000"/>
        </w:rPr>
        <w:t>第</w:t>
      </w:r>
      <w:r>
        <w:rPr>
          <w:color w:val="000000"/>
        </w:rPr>
        <w:t>21</w:t>
      </w:r>
      <w:r>
        <w:rPr>
          <w:rFonts w:hint="eastAsia"/>
          <w:color w:val="000000"/>
        </w:rPr>
        <w:t>行＝第</w:t>
      </w:r>
      <w:r>
        <w:rPr>
          <w:color w:val="000000"/>
        </w:rPr>
        <w:t>22+23+24+25+26+27+28+30</w:t>
      </w:r>
      <w:r>
        <w:rPr>
          <w:rFonts w:hint="eastAsia"/>
          <w:color w:val="000000"/>
        </w:rPr>
        <w:t>行。</w:t>
      </w:r>
    </w:p>
    <w:p>
      <w:pPr>
        <w:pStyle w:val="9"/>
        <w:rPr>
          <w:color w:val="000000"/>
        </w:rPr>
      </w:pPr>
      <w:r>
        <w:rPr>
          <w:color w:val="000000"/>
        </w:rPr>
        <w:t>5.</w:t>
      </w:r>
      <w:r>
        <w:rPr>
          <w:rFonts w:hint="eastAsia"/>
          <w:color w:val="000000"/>
        </w:rPr>
        <w:t>第</w:t>
      </w:r>
      <w:r>
        <w:rPr>
          <w:color w:val="000000"/>
        </w:rPr>
        <w:t>31</w:t>
      </w:r>
      <w:r>
        <w:rPr>
          <w:rFonts w:hint="eastAsia"/>
          <w:color w:val="000000"/>
        </w:rPr>
        <w:t>行＝第</w:t>
      </w:r>
      <w:r>
        <w:rPr>
          <w:color w:val="000000"/>
        </w:rPr>
        <w:t>32+33+34+35+36</w:t>
      </w:r>
      <w:r>
        <w:rPr>
          <w:rFonts w:hint="eastAsia"/>
          <w:color w:val="000000"/>
        </w:rPr>
        <w:t>行。</w:t>
      </w:r>
    </w:p>
    <w:p>
      <w:pPr>
        <w:pStyle w:val="9"/>
        <w:rPr>
          <w:color w:val="000000"/>
        </w:rPr>
      </w:pPr>
      <w:r>
        <w:rPr>
          <w:color w:val="000000"/>
        </w:rPr>
        <w:t>6.</w:t>
      </w:r>
      <w:r>
        <w:rPr>
          <w:rFonts w:hint="eastAsia"/>
          <w:color w:val="000000"/>
        </w:rPr>
        <w:t>第</w:t>
      </w:r>
      <w:r>
        <w:rPr>
          <w:color w:val="000000"/>
        </w:rPr>
        <w:t>39</w:t>
      </w:r>
      <w:r>
        <w:rPr>
          <w:rFonts w:hint="eastAsia"/>
          <w:color w:val="000000"/>
        </w:rPr>
        <w:t>行＝第</w:t>
      </w:r>
      <w:r>
        <w:rPr>
          <w:color w:val="000000"/>
        </w:rPr>
        <w:t>1+18+21+31+37+38</w:t>
      </w:r>
      <w:r>
        <w:rPr>
          <w:rFonts w:hint="eastAsia"/>
          <w:color w:val="000000"/>
        </w:rPr>
        <w:t>行。（其中第39行第6列＝第8+</w:t>
      </w:r>
      <w:r>
        <w:rPr>
          <w:color w:val="000000"/>
        </w:rPr>
        <w:t>9</w:t>
      </w:r>
      <w:r>
        <w:rPr>
          <w:rFonts w:hint="eastAsia"/>
          <w:color w:val="000000"/>
        </w:rPr>
        <w:t>+</w:t>
      </w:r>
      <w:r>
        <w:rPr>
          <w:color w:val="000000"/>
        </w:rPr>
        <w:t>10</w:t>
      </w:r>
      <w:r>
        <w:rPr>
          <w:rFonts w:hint="eastAsia"/>
          <w:color w:val="000000"/>
        </w:rPr>
        <w:t>+</w:t>
      </w:r>
      <w:r>
        <w:rPr>
          <w:color w:val="000000"/>
        </w:rPr>
        <w:t>14</w:t>
      </w:r>
      <w:r>
        <w:rPr>
          <w:rFonts w:hint="eastAsia"/>
          <w:color w:val="000000"/>
        </w:rPr>
        <w:t>+</w:t>
      </w:r>
      <w:r>
        <w:rPr>
          <w:color w:val="000000"/>
        </w:rPr>
        <w:t>15</w:t>
      </w:r>
      <w:r>
        <w:rPr>
          <w:rFonts w:hint="eastAsia"/>
          <w:color w:val="000000"/>
        </w:rPr>
        <w:t>+</w:t>
      </w:r>
      <w:r>
        <w:rPr>
          <w:color w:val="000000"/>
        </w:rPr>
        <w:t>16</w:t>
      </w:r>
      <w:r>
        <w:rPr>
          <w:rFonts w:hint="eastAsia"/>
          <w:color w:val="000000"/>
        </w:rPr>
        <w:t>+</w:t>
      </w:r>
      <w:r>
        <w:rPr>
          <w:color w:val="000000"/>
        </w:rPr>
        <w:t>17</w:t>
      </w:r>
      <w:r>
        <w:rPr>
          <w:rFonts w:hint="eastAsia"/>
          <w:color w:val="000000"/>
        </w:rPr>
        <w:t>+</w:t>
      </w:r>
      <w:r>
        <w:rPr>
          <w:color w:val="000000"/>
        </w:rPr>
        <w:t>29</w:t>
      </w:r>
      <w:r>
        <w:rPr>
          <w:rFonts w:hint="eastAsia"/>
          <w:color w:val="000000"/>
        </w:rPr>
        <w:t>行第6列；第39行第7列＝第8+</w:t>
      </w:r>
      <w:r>
        <w:rPr>
          <w:color w:val="000000"/>
        </w:rPr>
        <w:t>9</w:t>
      </w:r>
      <w:r>
        <w:rPr>
          <w:rFonts w:hint="eastAsia"/>
          <w:color w:val="000000"/>
        </w:rPr>
        <w:t>+</w:t>
      </w:r>
      <w:r>
        <w:rPr>
          <w:color w:val="000000"/>
        </w:rPr>
        <w:t>10</w:t>
      </w:r>
      <w:r>
        <w:rPr>
          <w:rFonts w:hint="eastAsia"/>
          <w:color w:val="000000"/>
        </w:rPr>
        <w:t>+</w:t>
      </w:r>
      <w:r>
        <w:rPr>
          <w:color w:val="000000"/>
        </w:rPr>
        <w:t>14</w:t>
      </w:r>
      <w:r>
        <w:rPr>
          <w:rFonts w:hint="eastAsia"/>
          <w:color w:val="000000"/>
        </w:rPr>
        <w:t>+</w:t>
      </w:r>
      <w:r>
        <w:rPr>
          <w:color w:val="000000"/>
        </w:rPr>
        <w:t>15</w:t>
      </w:r>
      <w:r>
        <w:rPr>
          <w:rFonts w:hint="eastAsia"/>
          <w:color w:val="000000"/>
        </w:rPr>
        <w:t>+</w:t>
      </w:r>
      <w:r>
        <w:rPr>
          <w:color w:val="000000"/>
        </w:rPr>
        <w:t>16</w:t>
      </w:r>
      <w:r>
        <w:rPr>
          <w:rFonts w:hint="eastAsia"/>
          <w:color w:val="000000"/>
        </w:rPr>
        <w:t>+</w:t>
      </w:r>
      <w:r>
        <w:rPr>
          <w:color w:val="000000"/>
        </w:rPr>
        <w:t>17</w:t>
      </w:r>
      <w:r>
        <w:rPr>
          <w:rFonts w:hint="eastAsia"/>
          <w:color w:val="000000"/>
        </w:rPr>
        <w:t>+</w:t>
      </w:r>
      <w:r>
        <w:rPr>
          <w:color w:val="000000"/>
        </w:rPr>
        <w:t>29</w:t>
      </w:r>
      <w:r>
        <w:rPr>
          <w:rFonts w:hint="eastAsia"/>
          <w:color w:val="000000"/>
        </w:rPr>
        <w:t>行第</w:t>
      </w:r>
      <w:r>
        <w:rPr>
          <w:color w:val="000000"/>
        </w:rPr>
        <w:t>7</w:t>
      </w:r>
      <w:r>
        <w:rPr>
          <w:rFonts w:hint="eastAsia"/>
          <w:color w:val="000000"/>
        </w:rPr>
        <w:t>列）</w:t>
      </w:r>
    </w:p>
    <w:p>
      <w:pPr>
        <w:pStyle w:val="9"/>
        <w:rPr>
          <w:color w:val="000000"/>
        </w:rPr>
      </w:pPr>
      <w:r>
        <w:rPr>
          <w:color w:val="000000"/>
        </w:rPr>
        <w:t>7.</w:t>
      </w:r>
      <w:r>
        <w:rPr>
          <w:rFonts w:hint="eastAsia"/>
          <w:color w:val="000000"/>
        </w:rPr>
        <w:t>第</w:t>
      </w:r>
      <w:r>
        <w:rPr>
          <w:color w:val="000000"/>
        </w:rPr>
        <w:t>7</w:t>
      </w:r>
      <w:r>
        <w:rPr>
          <w:rFonts w:hint="eastAsia"/>
          <w:color w:val="000000"/>
        </w:rPr>
        <w:t>列＝第</w:t>
      </w:r>
      <w:r>
        <w:rPr>
          <w:color w:val="000000"/>
        </w:rPr>
        <w:t>5-6</w:t>
      </w:r>
      <w:r>
        <w:rPr>
          <w:rFonts w:hint="eastAsia"/>
          <w:color w:val="000000"/>
        </w:rPr>
        <w:t>列。</w:t>
      </w:r>
    </w:p>
    <w:p>
      <w:pPr>
        <w:pStyle w:val="9"/>
        <w:rPr>
          <w:color w:val="000000"/>
        </w:rPr>
      </w:pPr>
      <w:r>
        <w:rPr>
          <w:color w:val="000000"/>
        </w:rPr>
        <w:t>8.</w:t>
      </w:r>
      <w:r>
        <w:rPr>
          <w:rFonts w:hint="eastAsia"/>
          <w:color w:val="000000"/>
        </w:rPr>
        <w:t>第</w:t>
      </w:r>
      <w:r>
        <w:rPr>
          <w:color w:val="000000"/>
        </w:rPr>
        <w:t>9</w:t>
      </w:r>
      <w:r>
        <w:rPr>
          <w:rFonts w:hint="eastAsia"/>
          <w:color w:val="000000"/>
        </w:rPr>
        <w:t>列＝第</w:t>
      </w:r>
      <w:r>
        <w:rPr>
          <w:color w:val="000000"/>
        </w:rPr>
        <w:t>2-5</w:t>
      </w:r>
      <w:r>
        <w:rPr>
          <w:rFonts w:hint="eastAsia"/>
          <w:color w:val="000000"/>
        </w:rPr>
        <w:t>列。</w:t>
      </w:r>
    </w:p>
    <w:p>
      <w:pPr>
        <w:pStyle w:val="12"/>
        <w:rPr>
          <w:color w:val="000000"/>
        </w:rPr>
      </w:pPr>
      <w:r>
        <w:rPr>
          <w:rFonts w:hint="eastAsia"/>
          <w:color w:val="000000"/>
        </w:rPr>
        <w:t>（二）表间关系</w:t>
      </w:r>
    </w:p>
    <w:p>
      <w:pPr>
        <w:pStyle w:val="9"/>
        <w:rPr>
          <w:color w:val="000000"/>
        </w:rPr>
      </w:pPr>
      <w:r>
        <w:rPr>
          <w:color w:val="000000"/>
        </w:rPr>
        <w:t>1.</w:t>
      </w:r>
      <w:r>
        <w:rPr>
          <w:rFonts w:hint="eastAsia"/>
          <w:color w:val="000000"/>
        </w:rPr>
        <w:t>第</w:t>
      </w:r>
      <w:r>
        <w:rPr>
          <w:color w:val="000000"/>
        </w:rPr>
        <w:t>39</w:t>
      </w:r>
      <w:r>
        <w:rPr>
          <w:rFonts w:hint="eastAsia"/>
          <w:color w:val="000000"/>
        </w:rPr>
        <w:t>行第</w:t>
      </w:r>
      <w:r>
        <w:rPr>
          <w:color w:val="000000"/>
        </w:rPr>
        <w:t>2</w:t>
      </w:r>
      <w:r>
        <w:rPr>
          <w:rFonts w:hint="eastAsia"/>
          <w:color w:val="000000"/>
        </w:rPr>
        <w:t>列＝表</w:t>
      </w:r>
      <w:r>
        <w:rPr>
          <w:color w:val="000000"/>
        </w:rPr>
        <w:t>A105000</w:t>
      </w:r>
      <w:r>
        <w:rPr>
          <w:rFonts w:hint="eastAsia"/>
          <w:color w:val="000000"/>
        </w:rPr>
        <w:t>第</w:t>
      </w:r>
      <w:r>
        <w:rPr>
          <w:color w:val="000000"/>
        </w:rPr>
        <w:t>32</w:t>
      </w:r>
      <w:r>
        <w:rPr>
          <w:rFonts w:hint="eastAsia"/>
          <w:color w:val="000000"/>
        </w:rPr>
        <w:t>行第</w:t>
      </w:r>
      <w:r>
        <w:rPr>
          <w:color w:val="000000"/>
        </w:rPr>
        <w:t>1</w:t>
      </w:r>
      <w:r>
        <w:rPr>
          <w:rFonts w:hint="eastAsia"/>
          <w:color w:val="000000"/>
        </w:rPr>
        <w:t>列。</w:t>
      </w:r>
    </w:p>
    <w:p>
      <w:pPr>
        <w:pStyle w:val="9"/>
        <w:rPr>
          <w:color w:val="000000"/>
        </w:rPr>
      </w:pPr>
      <w:r>
        <w:rPr>
          <w:color w:val="000000"/>
        </w:rPr>
        <w:t>2.</w:t>
      </w:r>
      <w:r>
        <w:rPr>
          <w:rFonts w:hint="eastAsia"/>
          <w:color w:val="000000"/>
        </w:rPr>
        <w:t>第</w:t>
      </w:r>
      <w:r>
        <w:rPr>
          <w:color w:val="000000"/>
        </w:rPr>
        <w:t>39</w:t>
      </w:r>
      <w:r>
        <w:rPr>
          <w:rFonts w:hint="eastAsia"/>
          <w:color w:val="000000"/>
        </w:rPr>
        <w:t>行第</w:t>
      </w:r>
      <w:r>
        <w:rPr>
          <w:color w:val="000000"/>
        </w:rPr>
        <w:t>5</w:t>
      </w:r>
      <w:r>
        <w:rPr>
          <w:rFonts w:hint="eastAsia"/>
          <w:color w:val="000000"/>
        </w:rPr>
        <w:t>列＝表</w:t>
      </w:r>
      <w:r>
        <w:rPr>
          <w:color w:val="000000"/>
        </w:rPr>
        <w:t>A105000</w:t>
      </w:r>
      <w:r>
        <w:rPr>
          <w:rFonts w:hint="eastAsia"/>
          <w:color w:val="000000"/>
        </w:rPr>
        <w:t>第</w:t>
      </w:r>
      <w:r>
        <w:rPr>
          <w:color w:val="000000"/>
        </w:rPr>
        <w:t>32</w:t>
      </w:r>
      <w:r>
        <w:rPr>
          <w:rFonts w:hint="eastAsia"/>
          <w:color w:val="000000"/>
        </w:rPr>
        <w:t>行第</w:t>
      </w:r>
      <w:r>
        <w:rPr>
          <w:color w:val="000000"/>
        </w:rPr>
        <w:t>2</w:t>
      </w:r>
      <w:r>
        <w:rPr>
          <w:rFonts w:hint="eastAsia"/>
          <w:color w:val="000000"/>
        </w:rPr>
        <w:t>列。</w:t>
      </w:r>
    </w:p>
    <w:p>
      <w:pPr>
        <w:pStyle w:val="9"/>
        <w:rPr>
          <w:color w:val="000000"/>
        </w:rPr>
        <w:sectPr>
          <w:pgSz w:w="11906" w:h="16838"/>
          <w:pgMar w:top="1985" w:right="1418" w:bottom="1928" w:left="1418" w:header="851" w:footer="992" w:gutter="113"/>
          <w:cols w:space="425" w:num="1"/>
          <w:docGrid w:linePitch="312" w:charSpace="0"/>
        </w:sectPr>
      </w:pPr>
      <w:r>
        <w:rPr>
          <w:color w:val="000000"/>
        </w:rPr>
        <w:t>3.</w:t>
      </w:r>
      <w:r>
        <w:rPr>
          <w:rFonts w:hint="eastAsia"/>
          <w:color w:val="000000"/>
        </w:rPr>
        <w:t>若第</w:t>
      </w:r>
      <w:r>
        <w:rPr>
          <w:color w:val="000000"/>
        </w:rPr>
        <w:t>39</w:t>
      </w:r>
      <w:r>
        <w:rPr>
          <w:rFonts w:hint="eastAsia"/>
          <w:color w:val="000000"/>
        </w:rPr>
        <w:t>行第</w:t>
      </w:r>
      <w:r>
        <w:rPr>
          <w:color w:val="000000"/>
        </w:rPr>
        <w:t>9</w:t>
      </w:r>
      <w:r>
        <w:rPr>
          <w:rFonts w:hint="eastAsia"/>
          <w:color w:val="000000"/>
        </w:rPr>
        <w:t>列≥0，第</w:t>
      </w:r>
      <w:r>
        <w:rPr>
          <w:color w:val="000000"/>
        </w:rPr>
        <w:t>39</w:t>
      </w:r>
      <w:r>
        <w:rPr>
          <w:rFonts w:hint="eastAsia"/>
          <w:color w:val="000000"/>
        </w:rPr>
        <w:t>行第</w:t>
      </w:r>
      <w:r>
        <w:rPr>
          <w:color w:val="000000"/>
        </w:rPr>
        <w:t>9</w:t>
      </w:r>
      <w:r>
        <w:rPr>
          <w:rFonts w:hint="eastAsia"/>
          <w:color w:val="000000"/>
        </w:rPr>
        <w:t>列＝表A105000第</w:t>
      </w:r>
      <w:r>
        <w:rPr>
          <w:color w:val="000000"/>
        </w:rPr>
        <w:t>32</w:t>
      </w:r>
      <w:r>
        <w:rPr>
          <w:rFonts w:hint="eastAsia"/>
          <w:color w:val="000000"/>
        </w:rPr>
        <w:t>行第3列；若第</w:t>
      </w:r>
      <w:r>
        <w:rPr>
          <w:color w:val="000000"/>
        </w:rPr>
        <w:t>39</w:t>
      </w:r>
      <w:r>
        <w:rPr>
          <w:rFonts w:hint="eastAsia"/>
          <w:color w:val="000000"/>
        </w:rPr>
        <w:t>行第</w:t>
      </w:r>
      <w:r>
        <w:rPr>
          <w:color w:val="000000"/>
        </w:rPr>
        <w:t>9</w:t>
      </w:r>
      <w:r>
        <w:rPr>
          <w:rFonts w:hint="eastAsia"/>
          <w:color w:val="000000"/>
        </w:rPr>
        <w:t>列＜0，第</w:t>
      </w:r>
      <w:r>
        <w:rPr>
          <w:color w:val="000000"/>
        </w:rPr>
        <w:t>39</w:t>
      </w:r>
      <w:r>
        <w:rPr>
          <w:rFonts w:hint="eastAsia"/>
          <w:color w:val="000000"/>
        </w:rPr>
        <w:t>行第</w:t>
      </w:r>
      <w:r>
        <w:rPr>
          <w:color w:val="000000"/>
        </w:rPr>
        <w:t>9</w:t>
      </w:r>
      <w:r>
        <w:rPr>
          <w:rFonts w:hint="eastAsia"/>
          <w:color w:val="000000"/>
        </w:rPr>
        <w:t>列的绝对值＝表A105000第</w:t>
      </w:r>
      <w:r>
        <w:rPr>
          <w:color w:val="000000"/>
        </w:rPr>
        <w:t>32</w:t>
      </w:r>
      <w:r>
        <w:rPr>
          <w:rFonts w:hint="eastAsia"/>
          <w:color w:val="000000"/>
        </w:rPr>
        <w:t>行第4列。</w:t>
      </w:r>
    </w:p>
    <w:p>
      <w:pPr>
        <w:pStyle w:val="13"/>
      </w:pPr>
      <w:bookmarkStart w:id="62" w:name="_Toc499456587"/>
      <w:r>
        <w:rPr>
          <w:rFonts w:hint="eastAsia"/>
        </w:rPr>
        <w:t>A105090</w:t>
      </w:r>
      <w:r>
        <w:tab/>
      </w:r>
      <w:r>
        <w:rPr>
          <w:rFonts w:hint="eastAsia"/>
        </w:rPr>
        <w:t>资产损失税前扣除及纳税调整明细表</w:t>
      </w:r>
      <w:bookmarkEnd w:id="62"/>
    </w:p>
    <w:tbl>
      <w:tblPr>
        <w:tblStyle w:val="7"/>
        <w:tblW w:w="144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0"/>
        <w:gridCol w:w="4780"/>
        <w:gridCol w:w="1520"/>
        <w:gridCol w:w="1520"/>
        <w:gridCol w:w="1520"/>
        <w:gridCol w:w="1520"/>
        <w:gridCol w:w="1520"/>
        <w:gridCol w:w="15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8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478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spacing w:val="500"/>
                <w:kern w:val="0"/>
                <w:sz w:val="20"/>
                <w:szCs w:val="20"/>
                <w:fitText w:val="1400" w:id="10"/>
              </w:rPr>
              <w:t>项</w:t>
            </w:r>
            <w:r>
              <w:rPr>
                <w:rFonts w:hint="eastAsia" w:ascii="宋体" w:hAnsi="宋体" w:cs="宋体"/>
                <w:kern w:val="0"/>
                <w:sz w:val="20"/>
                <w:szCs w:val="20"/>
                <w:fitText w:val="1400" w:id="10"/>
              </w:rPr>
              <w:t>目</w:t>
            </w:r>
          </w:p>
        </w:tc>
        <w:tc>
          <w:tcPr>
            <w:tcW w:w="15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资产损失的账载金额</w:t>
            </w:r>
          </w:p>
        </w:tc>
        <w:tc>
          <w:tcPr>
            <w:tcW w:w="15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资产处置收入</w:t>
            </w:r>
          </w:p>
        </w:tc>
        <w:tc>
          <w:tcPr>
            <w:tcW w:w="15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赔偿收入</w:t>
            </w:r>
          </w:p>
        </w:tc>
        <w:tc>
          <w:tcPr>
            <w:tcW w:w="15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资产计税基础</w:t>
            </w:r>
          </w:p>
        </w:tc>
        <w:tc>
          <w:tcPr>
            <w:tcW w:w="15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资产损失的税收金额</w:t>
            </w:r>
          </w:p>
        </w:tc>
        <w:tc>
          <w:tcPr>
            <w:tcW w:w="15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纳税调整金额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 w:hRule="atLeast"/>
          <w:jc w:val="center"/>
        </w:trPr>
        <w:tc>
          <w:tcPr>
            <w:tcW w:w="580" w:type="dxa"/>
            <w:vMerge w:val="continue"/>
            <w:tcBorders>
              <w:bottom w:val="single" w:color="auto" w:sz="12" w:space="0"/>
            </w:tcBorders>
            <w:shd w:val="clear" w:color="auto" w:fill="auto"/>
            <w:vAlign w:val="center"/>
          </w:tcPr>
          <w:p>
            <w:pPr>
              <w:widowControl/>
              <w:jc w:val="center"/>
              <w:rPr>
                <w:rFonts w:ascii="宋体" w:hAnsi="宋体" w:cs="宋体"/>
                <w:kern w:val="0"/>
                <w:sz w:val="20"/>
                <w:szCs w:val="20"/>
              </w:rPr>
            </w:pPr>
          </w:p>
        </w:tc>
        <w:tc>
          <w:tcPr>
            <w:tcW w:w="4780" w:type="dxa"/>
            <w:vMerge w:val="continue"/>
            <w:tcBorders>
              <w:bottom w:val="single" w:color="auto" w:sz="12" w:space="0"/>
            </w:tcBorders>
            <w:shd w:val="clear" w:color="auto" w:fill="auto"/>
            <w:vAlign w:val="center"/>
          </w:tcPr>
          <w:p>
            <w:pPr>
              <w:widowControl/>
              <w:jc w:val="center"/>
              <w:rPr>
                <w:rFonts w:ascii="宋体" w:hAnsi="宋体" w:cs="宋体"/>
                <w:kern w:val="0"/>
                <w:sz w:val="20"/>
                <w:szCs w:val="20"/>
              </w:rPr>
            </w:pPr>
          </w:p>
        </w:tc>
        <w:tc>
          <w:tcPr>
            <w:tcW w:w="1520"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1</w:t>
            </w:r>
          </w:p>
        </w:tc>
        <w:tc>
          <w:tcPr>
            <w:tcW w:w="1520"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2</w:t>
            </w:r>
          </w:p>
        </w:tc>
        <w:tc>
          <w:tcPr>
            <w:tcW w:w="1520"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3</w:t>
            </w:r>
          </w:p>
        </w:tc>
        <w:tc>
          <w:tcPr>
            <w:tcW w:w="1520"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4</w:t>
            </w:r>
          </w:p>
        </w:tc>
        <w:tc>
          <w:tcPr>
            <w:tcW w:w="1520"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5</w:t>
            </w:r>
            <w:r>
              <w:rPr>
                <w:rFonts w:hint="eastAsia" w:ascii="宋体" w:hAnsi="宋体" w:cs="宋体"/>
                <w:kern w:val="0"/>
                <w:sz w:val="20"/>
                <w:szCs w:val="20"/>
              </w:rPr>
              <w:t>（</w:t>
            </w:r>
            <w:r>
              <w:rPr>
                <w:rFonts w:ascii="宋体" w:hAnsi="宋体" w:cs="宋体"/>
                <w:kern w:val="0"/>
                <w:sz w:val="20"/>
                <w:szCs w:val="20"/>
              </w:rPr>
              <w:t>4</w:t>
            </w: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w:t>
            </w:r>
          </w:p>
        </w:tc>
        <w:tc>
          <w:tcPr>
            <w:tcW w:w="1520"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ascii="宋体" w:hAnsi="宋体" w:cs="宋体"/>
                <w:kern w:val="0"/>
                <w:sz w:val="20"/>
                <w:szCs w:val="20"/>
              </w:rPr>
              <w:t>6</w:t>
            </w: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w:t>
            </w:r>
            <w:r>
              <w:rPr>
                <w:rFonts w:ascii="宋体" w:hAnsi="宋体" w:cs="宋体"/>
                <w:kern w:val="0"/>
                <w:sz w:val="20"/>
                <w:szCs w:val="20"/>
              </w:rPr>
              <w:t>5</w:t>
            </w: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80" w:type="dxa"/>
            <w:tcBorders>
              <w:top w:val="single" w:color="auto" w:sz="12" w:space="0"/>
              <w:bottom w:val="single" w:color="auto" w:sz="6"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780" w:type="dxa"/>
            <w:tcBorders>
              <w:top w:val="single" w:color="auto" w:sz="12" w:space="0"/>
              <w:bottom w:val="single" w:color="auto" w:sz="6"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一、清单申报资产损失（2+3+4+5+6+7+8）</w:t>
            </w:r>
          </w:p>
        </w:tc>
        <w:tc>
          <w:tcPr>
            <w:tcW w:w="1520" w:type="dxa"/>
            <w:tcBorders>
              <w:top w:val="single" w:color="auto" w:sz="12"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bottom w:val="single" w:color="auto" w:sz="6" w:space="0"/>
            </w:tcBorders>
            <w:shd w:val="clear" w:color="auto" w:fill="auto"/>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520" w:type="dxa"/>
            <w:tcBorders>
              <w:top w:val="single" w:color="auto" w:sz="12"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80" w:type="dxa"/>
            <w:tcBorders>
              <w:top w:val="single" w:color="auto" w:sz="6" w:space="0"/>
              <w:bottom w:val="single" w:color="auto" w:sz="6"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780" w:type="dxa"/>
            <w:tcBorders>
              <w:top w:val="single" w:color="auto" w:sz="6" w:space="0"/>
              <w:bottom w:val="single" w:color="auto" w:sz="6" w:space="0"/>
            </w:tcBorders>
            <w:shd w:val="clear" w:color="auto" w:fill="auto"/>
            <w:vAlign w:val="center"/>
          </w:tcPr>
          <w:p>
            <w:pPr>
              <w:widowControl/>
              <w:ind w:left="420" w:leftChars="200"/>
              <w:rPr>
                <w:rFonts w:ascii="宋体" w:hAnsi="宋体" w:cs="宋体"/>
                <w:kern w:val="0"/>
                <w:sz w:val="20"/>
                <w:szCs w:val="20"/>
              </w:rPr>
            </w:pPr>
            <w:r>
              <w:rPr>
                <w:rFonts w:hint="eastAsia" w:ascii="宋体" w:hAnsi="宋体" w:cs="宋体"/>
                <w:kern w:val="0"/>
                <w:sz w:val="20"/>
                <w:szCs w:val="20"/>
              </w:rPr>
              <w:t>（一）正常经营管理活动中，按照公允价格销售、转让、变卖非货币资产的损失</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80" w:type="dxa"/>
            <w:tcBorders>
              <w:top w:val="single" w:color="auto" w:sz="6" w:space="0"/>
              <w:bottom w:val="single" w:color="auto" w:sz="6"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780" w:type="dxa"/>
            <w:tcBorders>
              <w:top w:val="single" w:color="auto" w:sz="6" w:space="0"/>
              <w:bottom w:val="single" w:color="auto" w:sz="6" w:space="0"/>
            </w:tcBorders>
            <w:shd w:val="clear" w:color="auto" w:fill="auto"/>
            <w:vAlign w:val="center"/>
          </w:tcPr>
          <w:p>
            <w:pPr>
              <w:widowControl/>
              <w:ind w:left="420" w:leftChars="200"/>
              <w:rPr>
                <w:rFonts w:ascii="宋体" w:hAnsi="宋体" w:cs="宋体"/>
                <w:kern w:val="0"/>
                <w:sz w:val="20"/>
                <w:szCs w:val="20"/>
              </w:rPr>
            </w:pPr>
            <w:r>
              <w:rPr>
                <w:rFonts w:hint="eastAsia" w:ascii="宋体" w:hAnsi="宋体" w:cs="宋体"/>
                <w:kern w:val="0"/>
                <w:sz w:val="20"/>
                <w:szCs w:val="20"/>
              </w:rPr>
              <w:t>（二）存货发生的正常损耗</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80" w:type="dxa"/>
            <w:tcBorders>
              <w:top w:val="single" w:color="auto" w:sz="6" w:space="0"/>
              <w:bottom w:val="single" w:color="auto" w:sz="6"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780" w:type="dxa"/>
            <w:tcBorders>
              <w:top w:val="single" w:color="auto" w:sz="6" w:space="0"/>
              <w:bottom w:val="single" w:color="auto" w:sz="6" w:space="0"/>
            </w:tcBorders>
            <w:shd w:val="clear" w:color="auto" w:fill="auto"/>
            <w:vAlign w:val="center"/>
          </w:tcPr>
          <w:p>
            <w:pPr>
              <w:widowControl/>
              <w:ind w:left="420" w:leftChars="200"/>
              <w:rPr>
                <w:rFonts w:ascii="宋体" w:hAnsi="宋体" w:cs="宋体"/>
                <w:kern w:val="0"/>
                <w:sz w:val="20"/>
                <w:szCs w:val="20"/>
              </w:rPr>
            </w:pPr>
            <w:r>
              <w:rPr>
                <w:rFonts w:hint="eastAsia" w:ascii="宋体" w:hAnsi="宋体" w:cs="宋体"/>
                <w:kern w:val="0"/>
                <w:sz w:val="20"/>
                <w:szCs w:val="20"/>
              </w:rPr>
              <w:t>（三）固定资产达到或超过使用年限而正常报废清理的损失</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80" w:type="dxa"/>
            <w:tcBorders>
              <w:top w:val="single" w:color="auto" w:sz="6" w:space="0"/>
              <w:bottom w:val="single" w:color="auto" w:sz="6"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780" w:type="dxa"/>
            <w:tcBorders>
              <w:top w:val="single" w:color="auto" w:sz="6" w:space="0"/>
              <w:bottom w:val="single" w:color="auto" w:sz="6" w:space="0"/>
            </w:tcBorders>
            <w:shd w:val="clear" w:color="auto" w:fill="auto"/>
            <w:vAlign w:val="center"/>
          </w:tcPr>
          <w:p>
            <w:pPr>
              <w:widowControl/>
              <w:ind w:left="420" w:leftChars="200"/>
              <w:rPr>
                <w:rFonts w:ascii="宋体" w:hAnsi="宋体" w:cs="宋体"/>
                <w:kern w:val="0"/>
                <w:sz w:val="20"/>
                <w:szCs w:val="20"/>
              </w:rPr>
            </w:pPr>
            <w:r>
              <w:rPr>
                <w:rFonts w:hint="eastAsia" w:ascii="宋体" w:hAnsi="宋体" w:cs="宋体"/>
                <w:kern w:val="0"/>
                <w:sz w:val="20"/>
                <w:szCs w:val="20"/>
              </w:rPr>
              <w:t>（四）生产性生物资产达到或超过使用年限而正常死亡发生的资产损失</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80" w:type="dxa"/>
            <w:tcBorders>
              <w:top w:val="single" w:color="auto" w:sz="6" w:space="0"/>
              <w:bottom w:val="single" w:color="auto" w:sz="6"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4780" w:type="dxa"/>
            <w:tcBorders>
              <w:top w:val="single" w:color="auto" w:sz="6" w:space="0"/>
              <w:bottom w:val="single" w:color="auto" w:sz="6" w:space="0"/>
            </w:tcBorders>
            <w:shd w:val="clear" w:color="auto" w:fill="auto"/>
            <w:vAlign w:val="center"/>
          </w:tcPr>
          <w:p>
            <w:pPr>
              <w:widowControl/>
              <w:ind w:left="420" w:leftChars="200"/>
              <w:rPr>
                <w:rFonts w:ascii="宋体" w:hAnsi="宋体" w:cs="宋体"/>
                <w:kern w:val="0"/>
                <w:sz w:val="20"/>
                <w:szCs w:val="20"/>
              </w:rPr>
            </w:pPr>
            <w:r>
              <w:rPr>
                <w:rFonts w:hint="eastAsia" w:ascii="宋体" w:hAnsi="宋体" w:cs="宋体"/>
                <w:kern w:val="0"/>
                <w:sz w:val="20"/>
                <w:szCs w:val="20"/>
              </w:rPr>
              <w:t>（五）按照市场公平交易原则，通过各种交易场所、市场等买卖债券、股票、期货、基金以及金融衍生产品等发生的损失</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80" w:type="dxa"/>
            <w:tcBorders>
              <w:top w:val="single" w:color="auto" w:sz="6" w:space="0"/>
              <w:bottom w:val="single" w:color="auto" w:sz="6"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4780" w:type="dxa"/>
            <w:tcBorders>
              <w:top w:val="single" w:color="auto" w:sz="6" w:space="0"/>
              <w:bottom w:val="single" w:color="auto" w:sz="6" w:space="0"/>
            </w:tcBorders>
            <w:shd w:val="clear" w:color="auto" w:fill="auto"/>
            <w:vAlign w:val="center"/>
          </w:tcPr>
          <w:p>
            <w:pPr>
              <w:widowControl/>
              <w:ind w:left="420" w:leftChars="200"/>
              <w:rPr>
                <w:rFonts w:ascii="宋体" w:hAnsi="宋体" w:cs="宋体"/>
                <w:kern w:val="0"/>
                <w:sz w:val="20"/>
                <w:szCs w:val="20"/>
              </w:rPr>
            </w:pPr>
            <w:r>
              <w:rPr>
                <w:rFonts w:hint="eastAsia" w:ascii="宋体" w:hAnsi="宋体" w:cs="宋体"/>
                <w:kern w:val="0"/>
                <w:sz w:val="20"/>
                <w:szCs w:val="20"/>
              </w:rPr>
              <w:t>（六）分支机构上报的资产损失</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520"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80" w:type="dxa"/>
            <w:tcBorders>
              <w:top w:val="single" w:color="auto" w:sz="6" w:space="0"/>
              <w:bottom w:val="single" w:color="auto" w:sz="12"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4780" w:type="dxa"/>
            <w:tcBorders>
              <w:top w:val="single" w:color="auto" w:sz="6" w:space="0"/>
              <w:bottom w:val="single" w:color="auto" w:sz="12" w:space="0"/>
            </w:tcBorders>
            <w:shd w:val="clear" w:color="auto" w:fill="auto"/>
            <w:vAlign w:val="center"/>
          </w:tcPr>
          <w:p>
            <w:pPr>
              <w:widowControl/>
              <w:ind w:left="420" w:leftChars="200"/>
              <w:rPr>
                <w:rFonts w:ascii="宋体" w:hAnsi="宋体" w:cs="宋体"/>
                <w:kern w:val="0"/>
                <w:sz w:val="20"/>
                <w:szCs w:val="20"/>
              </w:rPr>
            </w:pPr>
            <w:r>
              <w:rPr>
                <w:rFonts w:hint="eastAsia" w:ascii="宋体" w:hAnsi="宋体" w:cs="宋体"/>
                <w:kern w:val="0"/>
                <w:sz w:val="20"/>
                <w:szCs w:val="20"/>
              </w:rPr>
              <w:t>（七）其他</w:t>
            </w:r>
          </w:p>
        </w:tc>
        <w:tc>
          <w:tcPr>
            <w:tcW w:w="1520" w:type="dxa"/>
            <w:tcBorders>
              <w:top w:val="single" w:color="auto" w:sz="6" w:space="0"/>
              <w:bottom w:val="single" w:color="auto" w:sz="12" w:space="0"/>
            </w:tcBorders>
            <w:shd w:val="clear" w:color="auto" w:fill="auto"/>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520" w:type="dxa"/>
            <w:tcBorders>
              <w:top w:val="single" w:color="auto" w:sz="6" w:space="0"/>
              <w:bottom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6" w:space="0"/>
              <w:bottom w:val="single" w:color="auto" w:sz="12" w:space="0"/>
            </w:tcBorders>
            <w:shd w:val="clear" w:color="auto" w:fill="auto"/>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520" w:type="dxa"/>
            <w:tcBorders>
              <w:top w:val="single" w:color="auto" w:sz="6" w:space="0"/>
              <w:bottom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80" w:type="dxa"/>
            <w:tcBorders>
              <w:top w:val="single" w:color="auto" w:sz="12"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4780" w:type="dxa"/>
            <w:tcBorders>
              <w:top w:val="single" w:color="auto" w:sz="12"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二、专项申报资产损失（10+11+12+13）</w:t>
            </w:r>
          </w:p>
        </w:tc>
        <w:tc>
          <w:tcPr>
            <w:tcW w:w="1520" w:type="dxa"/>
            <w:tcBorders>
              <w:top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8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4780" w:type="dxa"/>
            <w:shd w:val="clear" w:color="auto" w:fill="auto"/>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（一）货币资产损失</w:t>
            </w:r>
          </w:p>
        </w:tc>
        <w:tc>
          <w:tcPr>
            <w:tcW w:w="15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8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4780" w:type="dxa"/>
            <w:shd w:val="clear" w:color="auto" w:fill="auto"/>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（二）非货币资产损失</w:t>
            </w:r>
          </w:p>
        </w:tc>
        <w:tc>
          <w:tcPr>
            <w:tcW w:w="15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8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4780" w:type="dxa"/>
            <w:shd w:val="clear" w:color="auto" w:fill="auto"/>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（三）投资损失</w:t>
            </w:r>
          </w:p>
        </w:tc>
        <w:tc>
          <w:tcPr>
            <w:tcW w:w="15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80" w:type="dxa"/>
            <w:tcBorders>
              <w:bottom w:val="single" w:color="auto" w:sz="12"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4780" w:type="dxa"/>
            <w:tcBorders>
              <w:bottom w:val="single" w:color="auto" w:sz="12" w:space="0"/>
            </w:tcBorders>
            <w:shd w:val="clear" w:color="auto" w:fill="auto"/>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（四）其他</w:t>
            </w:r>
          </w:p>
        </w:tc>
        <w:tc>
          <w:tcPr>
            <w:tcW w:w="1520" w:type="dxa"/>
            <w:tcBorders>
              <w:bottom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bottom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bottom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bottom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bottom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bottom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580" w:type="dxa"/>
            <w:tcBorders>
              <w:top w:val="single" w:color="auto" w:sz="12" w:space="0"/>
              <w:bottom w:val="single" w:color="auto" w:sz="12"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4780" w:type="dxa"/>
            <w:tcBorders>
              <w:top w:val="single" w:color="auto" w:sz="12" w:space="0"/>
              <w:bottom w:val="single" w:color="auto" w:sz="12"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合计（1+9）</w:t>
            </w:r>
          </w:p>
        </w:tc>
        <w:tc>
          <w:tcPr>
            <w:tcW w:w="1520" w:type="dxa"/>
            <w:tcBorders>
              <w:top w:val="single" w:color="auto" w:sz="12" w:space="0"/>
              <w:bottom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bottom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bottom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bottom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bottom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20" w:type="dxa"/>
            <w:tcBorders>
              <w:top w:val="single" w:color="auto" w:sz="12" w:space="0"/>
              <w:bottom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bl>
    <w:p>
      <w:pPr>
        <w:pStyle w:val="9"/>
      </w:pPr>
    </w:p>
    <w:p>
      <w:pPr>
        <w:pStyle w:val="9"/>
        <w:ind w:firstLine="0" w:firstLineChars="0"/>
        <w:rPr>
          <w:color w:val="000000"/>
        </w:rPr>
        <w:sectPr>
          <w:pgSz w:w="16838" w:h="11906" w:orient="landscape"/>
          <w:pgMar w:top="1418" w:right="1985" w:bottom="1418" w:left="1928" w:header="851" w:footer="992" w:gutter="113"/>
          <w:cols w:space="425" w:num="1"/>
          <w:docGrid w:linePitch="312" w:charSpace="0"/>
        </w:sectPr>
      </w:pPr>
    </w:p>
    <w:p>
      <w:pPr>
        <w:pStyle w:val="8"/>
        <w:spacing w:before="240" w:after="360"/>
        <w:rPr>
          <w:color w:val="000000"/>
        </w:rPr>
      </w:pPr>
      <w:bookmarkStart w:id="63" w:name="_Toc499456588"/>
      <w:r>
        <w:rPr>
          <w:rFonts w:hint="eastAsia"/>
          <w:color w:val="000000"/>
        </w:rPr>
        <w:t>A105090</w:t>
      </w:r>
      <w:r>
        <w:rPr>
          <w:color w:val="000000"/>
        </w:rPr>
        <w:tab/>
      </w:r>
      <w:r>
        <w:rPr>
          <w:rFonts w:hint="eastAsia"/>
          <w:color w:val="000000"/>
        </w:rPr>
        <w:t>《资产损失税前扣除及纳税调整明细表》填报说明</w:t>
      </w:r>
      <w:bookmarkEnd w:id="63"/>
    </w:p>
    <w:p>
      <w:pPr>
        <w:pStyle w:val="9"/>
        <w:rPr>
          <w:color w:val="000000"/>
        </w:rPr>
      </w:pPr>
      <w:r>
        <w:rPr>
          <w:rFonts w:hint="eastAsia"/>
          <w:color w:val="000000"/>
        </w:rPr>
        <w:t>本表适用于发生资产损失税前扣除项目及纳税调整项目的纳税人填报。纳税人根据税法、《财政部 国家税务总局关于企业资产损失税前扣除政策的通知》（财税〔2009〕57号）、《国家税务总局关于发布〈企业资产损失所得税税前扣除管理办法〉的公告》（国家税务总局公告2011年第25号）、《国家税务总局关于商业零售企业存货损失税前扣除问题的公告》（国家税务总局公告2014年第3号）、《国家税务总局关于企业因国务院决定事项形成的资产损失税前扣除问题的公告》（国家税务总局公告2014年第18号）等相关规定，及国家统一企业会计制度，填报资产损失的会计处理、税收规定，以及纳税调整情况。</w:t>
      </w:r>
    </w:p>
    <w:p>
      <w:pPr>
        <w:pStyle w:val="11"/>
        <w:ind w:firstLine="482"/>
      </w:pPr>
      <w:r>
        <w:rPr>
          <w:rFonts w:hint="eastAsia"/>
        </w:rPr>
        <w:t>一、有关项目填报说明</w:t>
      </w:r>
    </w:p>
    <w:p>
      <w:pPr>
        <w:pStyle w:val="12"/>
      </w:pPr>
      <w:r>
        <w:rPr>
          <w:rFonts w:hint="eastAsia"/>
        </w:rPr>
        <w:t>（一）行次填报</w:t>
      </w:r>
    </w:p>
    <w:p>
      <w:pPr>
        <w:pStyle w:val="9"/>
        <w:rPr>
          <w:rFonts w:hint="eastAsia"/>
        </w:rPr>
      </w:pPr>
      <w:r>
        <w:rPr>
          <w:rFonts w:hint="eastAsia"/>
        </w:rPr>
        <w:t>跨地区经营汇总纳税企业第1行至第6行、第8行填报总机构情况，第7行填报各分支机构汇总后情况。</w:t>
      </w:r>
    </w:p>
    <w:p>
      <w:pPr>
        <w:pStyle w:val="9"/>
      </w:pPr>
      <w:r>
        <w:rPr>
          <w:rFonts w:hint="eastAsia"/>
        </w:rPr>
        <w:t>1.第1行“一、清单申报资产损失”：填报以清单申报的方式向税务机关申报扣除的资产损失的账载金额、资产处置收入、赔偿收入、资产计税基础、资产损失的税收金额以及纳税调整金额。本行金额等于第2行至第8行的合计金额。</w:t>
      </w:r>
    </w:p>
    <w:p>
      <w:pPr>
        <w:pStyle w:val="9"/>
      </w:pPr>
      <w:r>
        <w:rPr>
          <w:rFonts w:hint="eastAsia"/>
        </w:rPr>
        <w:t>2.第2行至第8行，分别填报相应清单申报资产损失类型的会计处理、税收规定及纳税调整情况。</w:t>
      </w:r>
    </w:p>
    <w:p>
      <w:pPr>
        <w:pStyle w:val="9"/>
      </w:pPr>
      <w:r>
        <w:rPr>
          <w:rFonts w:hint="eastAsia"/>
        </w:rPr>
        <w:t>3.第9行“二、专项申报资产损失”：填报以专项申报的方式向税务机关申报扣除的资产损失的账载金额、资产处置收入、赔偿收入、资产计税基础、资产损失的税收金额以及纳税调整金额。本行金额等于第10行至第13行的合计金额。</w:t>
      </w:r>
    </w:p>
    <w:p>
      <w:pPr>
        <w:pStyle w:val="9"/>
      </w:pPr>
      <w:r>
        <w:rPr>
          <w:rFonts w:hint="eastAsia"/>
        </w:rPr>
        <w:t>4.第10行“（一）货币资产损失”：填报企业当年发生的货币资产损失（包括现金损失、银行存款损失和应收及预付款项损失等）的账载金额、资产处置收入、赔偿收入、资产计税基础、货币资产损失的税收金额以及纳税调整金额。</w:t>
      </w:r>
    </w:p>
    <w:p>
      <w:pPr>
        <w:pStyle w:val="9"/>
      </w:pPr>
      <w:r>
        <w:rPr>
          <w:rFonts w:hint="eastAsia"/>
        </w:rPr>
        <w:t>5.第11行“（二）非货币资产损失”：填报应进行专项申报扣除的非货币资产损失的账载金额、资产处置收入、赔偿收入、资产计税基础、非货币资产损失的税收金额以及纳税调整金额。</w:t>
      </w:r>
    </w:p>
    <w:p>
      <w:pPr>
        <w:pStyle w:val="9"/>
      </w:pPr>
      <w:r>
        <w:rPr>
          <w:rFonts w:hint="eastAsia"/>
        </w:rPr>
        <w:t>6.第12行“（三）投资损失”：填报应进行专项申报扣除的投资损失的账载金额、资产处置收入、赔偿收入、资产计税基础、投资损失的税收金额以及纳税调整金额。</w:t>
      </w:r>
    </w:p>
    <w:p>
      <w:pPr>
        <w:pStyle w:val="9"/>
      </w:pPr>
      <w:r>
        <w:rPr>
          <w:rFonts w:hint="eastAsia"/>
        </w:rPr>
        <w:t>7.第13行“（四）其他”：填报应进行专项申报扣除的其他资产损失的账载金额、资产处置收入、赔偿收入、资产计税基础、其他资产损失的税收金额以及纳税调整金额。</w:t>
      </w:r>
    </w:p>
    <w:p>
      <w:pPr>
        <w:pStyle w:val="9"/>
      </w:pPr>
      <w:r>
        <w:rPr>
          <w:rFonts w:hint="eastAsia"/>
        </w:rPr>
        <w:t>8.第14行“合计”行次：填报第1+9行的合计金额。</w:t>
      </w:r>
    </w:p>
    <w:p>
      <w:pPr>
        <w:pStyle w:val="12"/>
      </w:pPr>
      <w:r>
        <w:rPr>
          <w:rFonts w:hint="eastAsia"/>
        </w:rPr>
        <w:t>（二）列次填报</w:t>
      </w:r>
    </w:p>
    <w:p>
      <w:pPr>
        <w:pStyle w:val="9"/>
      </w:pPr>
      <w:r>
        <w:t>1</w:t>
      </w:r>
      <w:r>
        <w:rPr>
          <w:rFonts w:hint="eastAsia"/>
        </w:rPr>
        <w:t>.第</w:t>
      </w:r>
      <w:r>
        <w:t>1</w:t>
      </w:r>
      <w:r>
        <w:rPr>
          <w:rFonts w:hint="eastAsia"/>
        </w:rPr>
        <w:t>列“资产损失的账载金额”：填报纳税人会计核算计入当期损益的资产损失金额。</w:t>
      </w:r>
    </w:p>
    <w:p>
      <w:pPr>
        <w:pStyle w:val="9"/>
      </w:pPr>
      <w:r>
        <w:t>2</w:t>
      </w:r>
      <w:r>
        <w:rPr>
          <w:rFonts w:hint="eastAsia"/>
        </w:rPr>
        <w:t>.第</w:t>
      </w:r>
      <w:r>
        <w:t>2</w:t>
      </w:r>
      <w:r>
        <w:rPr>
          <w:rFonts w:hint="eastAsia"/>
        </w:rPr>
        <w:t>列“资产处置收入”：填报纳税人处置发生损失的资产可收回的残值或处置收益。</w:t>
      </w:r>
    </w:p>
    <w:p>
      <w:pPr>
        <w:pStyle w:val="9"/>
      </w:pPr>
      <w:r>
        <w:t>3</w:t>
      </w:r>
      <w:r>
        <w:rPr>
          <w:rFonts w:hint="eastAsia"/>
        </w:rPr>
        <w:t>.第</w:t>
      </w:r>
      <w:r>
        <w:t>3</w:t>
      </w:r>
      <w:r>
        <w:rPr>
          <w:rFonts w:hint="eastAsia"/>
        </w:rPr>
        <w:t>列“赔偿收入”：填报纳税人发生的资产损失，取得的相关责任人、保险公司赔偿的金额。</w:t>
      </w:r>
    </w:p>
    <w:p>
      <w:pPr>
        <w:pStyle w:val="9"/>
      </w:pPr>
      <w:r>
        <w:t>4</w:t>
      </w:r>
      <w:r>
        <w:rPr>
          <w:rFonts w:hint="eastAsia"/>
        </w:rPr>
        <w:t>.第</w:t>
      </w:r>
      <w:r>
        <w:t>4</w:t>
      </w:r>
      <w:r>
        <w:rPr>
          <w:rFonts w:hint="eastAsia"/>
        </w:rPr>
        <w:t>列“资产计税基础”：填报按税收规定计算的发生损失时资产的计税基础，含损失资产涉及的不得抵扣增值税进项税额。</w:t>
      </w:r>
    </w:p>
    <w:p>
      <w:pPr>
        <w:pStyle w:val="9"/>
      </w:pPr>
      <w:r>
        <w:t>5</w:t>
      </w:r>
      <w:r>
        <w:rPr>
          <w:rFonts w:hint="eastAsia"/>
        </w:rPr>
        <w:t>.第</w:t>
      </w:r>
      <w:r>
        <w:t>5</w:t>
      </w:r>
      <w:r>
        <w:rPr>
          <w:rFonts w:hint="eastAsia"/>
        </w:rPr>
        <w:t>列“资产损失的税收金额”：填报按税收规定允许当期税前扣除的资产损失金额，为第</w:t>
      </w:r>
      <w:r>
        <w:t>4</w:t>
      </w:r>
      <w:r>
        <w:rPr>
          <w:rFonts w:hint="eastAsia"/>
        </w:rPr>
        <w:t>-</w:t>
      </w:r>
      <w:r>
        <w:t>2</w:t>
      </w:r>
      <w:r>
        <w:rPr>
          <w:rFonts w:hint="eastAsia"/>
        </w:rPr>
        <w:t>-</w:t>
      </w:r>
      <w:r>
        <w:t>3</w:t>
      </w:r>
      <w:r>
        <w:rPr>
          <w:rFonts w:hint="eastAsia"/>
        </w:rPr>
        <w:t>列的余额。</w:t>
      </w:r>
    </w:p>
    <w:p>
      <w:pPr>
        <w:pStyle w:val="9"/>
      </w:pPr>
      <w:r>
        <w:t>6</w:t>
      </w:r>
      <w:r>
        <w:rPr>
          <w:rFonts w:hint="eastAsia"/>
        </w:rPr>
        <w:t>.第</w:t>
      </w:r>
      <w:r>
        <w:t>6</w:t>
      </w:r>
      <w:r>
        <w:rPr>
          <w:rFonts w:hint="eastAsia"/>
        </w:rPr>
        <w:t>列“纳税调整金额”：填报第</w:t>
      </w:r>
      <w:r>
        <w:t>1</w:t>
      </w:r>
      <w:r>
        <w:rPr>
          <w:rFonts w:hint="eastAsia"/>
        </w:rPr>
        <w:t>-</w:t>
      </w:r>
      <w:r>
        <w:t>5</w:t>
      </w:r>
      <w:r>
        <w:rPr>
          <w:rFonts w:hint="eastAsia"/>
        </w:rPr>
        <w:t>列的余额。</w:t>
      </w:r>
    </w:p>
    <w:p>
      <w:pPr>
        <w:pStyle w:val="11"/>
        <w:ind w:firstLine="482"/>
      </w:pPr>
      <w:r>
        <w:rPr>
          <w:rFonts w:hint="eastAsia"/>
        </w:rPr>
        <w:t>二、表内、表间关系</w:t>
      </w:r>
    </w:p>
    <w:p>
      <w:pPr>
        <w:pStyle w:val="12"/>
        <w:rPr>
          <w:color w:val="000000"/>
        </w:rPr>
      </w:pPr>
      <w:r>
        <w:rPr>
          <w:rFonts w:hint="eastAsia"/>
          <w:color w:val="000000"/>
        </w:rPr>
        <w:t>（一）表内关系</w:t>
      </w:r>
    </w:p>
    <w:p>
      <w:pPr>
        <w:pStyle w:val="9"/>
      </w:pPr>
      <w:r>
        <w:rPr>
          <w:rFonts w:hint="eastAsia"/>
        </w:rPr>
        <w:t>1.第1行＝第2+3+…+8行。</w:t>
      </w:r>
    </w:p>
    <w:p>
      <w:pPr>
        <w:pStyle w:val="9"/>
      </w:pPr>
      <w:r>
        <w:rPr>
          <w:rFonts w:hint="eastAsia"/>
        </w:rPr>
        <w:t>2.第9行＝第10+11+12+13行</w:t>
      </w:r>
    </w:p>
    <w:p>
      <w:pPr>
        <w:pStyle w:val="9"/>
      </w:pPr>
      <w:r>
        <w:rPr>
          <w:rFonts w:hint="eastAsia"/>
        </w:rPr>
        <w:t>3.第14行＝第1+9行。</w:t>
      </w:r>
    </w:p>
    <w:p>
      <w:pPr>
        <w:pStyle w:val="9"/>
      </w:pPr>
      <w:r>
        <w:rPr>
          <w:rFonts w:hint="eastAsia"/>
        </w:rPr>
        <w:t>4.第</w:t>
      </w:r>
      <w:r>
        <w:t>5</w:t>
      </w:r>
      <w:r>
        <w:rPr>
          <w:rFonts w:hint="eastAsia"/>
        </w:rPr>
        <w:t>列＝第</w:t>
      </w:r>
      <w:r>
        <w:t>4</w:t>
      </w:r>
      <w:r>
        <w:rPr>
          <w:rFonts w:hint="eastAsia"/>
        </w:rPr>
        <w:t>-</w:t>
      </w:r>
      <w:r>
        <w:t>2</w:t>
      </w:r>
      <w:r>
        <w:rPr>
          <w:rFonts w:hint="eastAsia"/>
        </w:rPr>
        <w:t>-</w:t>
      </w:r>
      <w:r>
        <w:t>3</w:t>
      </w:r>
      <w:r>
        <w:rPr>
          <w:rFonts w:hint="eastAsia"/>
        </w:rPr>
        <w:t>列。</w:t>
      </w:r>
    </w:p>
    <w:p>
      <w:pPr>
        <w:pStyle w:val="9"/>
      </w:pPr>
      <w:r>
        <w:rPr>
          <w:rFonts w:hint="eastAsia"/>
        </w:rPr>
        <w:t>5.第</w:t>
      </w:r>
      <w:r>
        <w:t>6</w:t>
      </w:r>
      <w:r>
        <w:rPr>
          <w:rFonts w:hint="eastAsia"/>
        </w:rPr>
        <w:t>列＝第</w:t>
      </w:r>
      <w:r>
        <w:t>1</w:t>
      </w:r>
      <w:r>
        <w:rPr>
          <w:rFonts w:hint="eastAsia"/>
        </w:rPr>
        <w:t>-</w:t>
      </w:r>
      <w:r>
        <w:t>5</w:t>
      </w:r>
      <w:r>
        <w:rPr>
          <w:rFonts w:hint="eastAsia"/>
        </w:rPr>
        <w:t>列。</w:t>
      </w:r>
    </w:p>
    <w:p>
      <w:pPr>
        <w:pStyle w:val="12"/>
      </w:pPr>
      <w:r>
        <w:rPr>
          <w:rFonts w:hint="eastAsia"/>
        </w:rPr>
        <w:t>（二）表间关系</w:t>
      </w:r>
    </w:p>
    <w:p>
      <w:pPr>
        <w:pStyle w:val="9"/>
        <w:rPr>
          <w:color w:val="000000"/>
        </w:rPr>
      </w:pPr>
      <w:r>
        <w:rPr>
          <w:rFonts w:hint="eastAsia"/>
          <w:color w:val="000000"/>
        </w:rPr>
        <w:t>1.第14行第</w:t>
      </w:r>
      <w:r>
        <w:rPr>
          <w:color w:val="000000"/>
        </w:rPr>
        <w:t>1</w:t>
      </w:r>
      <w:r>
        <w:rPr>
          <w:rFonts w:hint="eastAsia"/>
          <w:color w:val="000000"/>
        </w:rPr>
        <w:t>列＝表A105000第3</w:t>
      </w:r>
      <w:r>
        <w:rPr>
          <w:color w:val="000000"/>
        </w:rPr>
        <w:t>4</w:t>
      </w:r>
      <w:r>
        <w:rPr>
          <w:rFonts w:hint="eastAsia"/>
          <w:color w:val="000000"/>
        </w:rPr>
        <w:t>行第1列。</w:t>
      </w:r>
    </w:p>
    <w:p>
      <w:pPr>
        <w:pStyle w:val="9"/>
        <w:rPr>
          <w:color w:val="000000"/>
        </w:rPr>
      </w:pPr>
      <w:r>
        <w:rPr>
          <w:rFonts w:hint="eastAsia"/>
          <w:color w:val="000000"/>
        </w:rPr>
        <w:t>2.第14行第</w:t>
      </w:r>
      <w:r>
        <w:rPr>
          <w:color w:val="000000"/>
        </w:rPr>
        <w:t>5</w:t>
      </w:r>
      <w:r>
        <w:rPr>
          <w:rFonts w:hint="eastAsia"/>
          <w:color w:val="000000"/>
        </w:rPr>
        <w:t>列＝表A105000第3</w:t>
      </w:r>
      <w:r>
        <w:rPr>
          <w:color w:val="000000"/>
        </w:rPr>
        <w:t>4</w:t>
      </w:r>
      <w:r>
        <w:rPr>
          <w:rFonts w:hint="eastAsia"/>
          <w:color w:val="000000"/>
        </w:rPr>
        <w:t>行第2列。</w:t>
      </w:r>
    </w:p>
    <w:p>
      <w:pPr>
        <w:pStyle w:val="9"/>
        <w:rPr>
          <w:color w:val="000000"/>
        </w:rPr>
        <w:sectPr>
          <w:pgSz w:w="11906" w:h="16838"/>
          <w:pgMar w:top="1985" w:right="1418" w:bottom="1928" w:left="1418" w:header="851" w:footer="992" w:gutter="113"/>
          <w:cols w:space="425" w:num="1"/>
          <w:titlePg/>
          <w:docGrid w:linePitch="312" w:charSpace="0"/>
        </w:sectPr>
      </w:pPr>
      <w:r>
        <w:rPr>
          <w:rFonts w:hint="eastAsia"/>
          <w:color w:val="000000"/>
        </w:rPr>
        <w:t>3.若第14行第</w:t>
      </w:r>
      <w:r>
        <w:rPr>
          <w:color w:val="000000"/>
        </w:rPr>
        <w:t>6</w:t>
      </w:r>
      <w:r>
        <w:rPr>
          <w:rFonts w:hint="eastAsia"/>
          <w:color w:val="000000"/>
        </w:rPr>
        <w:t>列≥0，第14行第</w:t>
      </w:r>
      <w:r>
        <w:rPr>
          <w:color w:val="000000"/>
        </w:rPr>
        <w:t>6</w:t>
      </w:r>
      <w:r>
        <w:rPr>
          <w:rFonts w:hint="eastAsia"/>
          <w:color w:val="000000"/>
        </w:rPr>
        <w:t>列＝表A105000第</w:t>
      </w:r>
      <w:r>
        <w:rPr>
          <w:color w:val="000000"/>
        </w:rPr>
        <w:t>3</w:t>
      </w:r>
      <w:r>
        <w:rPr>
          <w:rFonts w:hint="eastAsia"/>
          <w:color w:val="000000"/>
        </w:rPr>
        <w:t>4行第3列；若第14行第</w:t>
      </w:r>
      <w:r>
        <w:rPr>
          <w:color w:val="000000"/>
        </w:rPr>
        <w:t>6</w:t>
      </w:r>
      <w:r>
        <w:rPr>
          <w:rFonts w:hint="eastAsia"/>
          <w:color w:val="000000"/>
        </w:rPr>
        <w:t>列＜0，第14行第</w:t>
      </w:r>
      <w:r>
        <w:rPr>
          <w:color w:val="000000"/>
        </w:rPr>
        <w:t>6</w:t>
      </w:r>
      <w:r>
        <w:rPr>
          <w:rFonts w:hint="eastAsia"/>
          <w:color w:val="000000"/>
        </w:rPr>
        <w:t>列的绝对值＝表A105000第</w:t>
      </w:r>
      <w:r>
        <w:rPr>
          <w:color w:val="000000"/>
        </w:rPr>
        <w:t>3</w:t>
      </w:r>
      <w:r>
        <w:rPr>
          <w:rFonts w:hint="eastAsia"/>
          <w:color w:val="000000"/>
        </w:rPr>
        <w:t>4行第4列。</w:t>
      </w:r>
    </w:p>
    <w:p>
      <w:pPr>
        <w:pStyle w:val="13"/>
      </w:pPr>
      <w:bookmarkStart w:id="64" w:name="_Toc499456589"/>
      <w:r>
        <w:rPr>
          <w:rFonts w:hint="eastAsia"/>
        </w:rPr>
        <w:t>A105100</w:t>
      </w:r>
      <w:r>
        <w:tab/>
      </w:r>
      <w:r>
        <w:rPr>
          <w:rFonts w:hint="eastAsia"/>
        </w:rPr>
        <w:t>企业重组及递延纳税事项纳税调整明细表</w:t>
      </w:r>
      <w:bookmarkEnd w:id="64"/>
    </w:p>
    <w:tbl>
      <w:tblPr>
        <w:tblStyle w:val="7"/>
        <w:tblW w:w="145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5620"/>
        <w:gridCol w:w="1180"/>
        <w:gridCol w:w="1180"/>
        <w:gridCol w:w="1180"/>
        <w:gridCol w:w="1180"/>
        <w:gridCol w:w="1180"/>
        <w:gridCol w:w="1180"/>
        <w:gridCol w:w="11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vMerge w:val="restart"/>
            <w:tcBorders>
              <w:top w:val="single" w:color="auto" w:sz="12"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5620" w:type="dxa"/>
            <w:vMerge w:val="restart"/>
            <w:tcBorders>
              <w:top w:val="single" w:color="auto" w:sz="12"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        目</w:t>
            </w:r>
          </w:p>
        </w:tc>
        <w:tc>
          <w:tcPr>
            <w:tcW w:w="3540" w:type="dxa"/>
            <w:gridSpan w:val="3"/>
            <w:tcBorders>
              <w:top w:val="single" w:color="auto" w:sz="12"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一般性税务处理</w:t>
            </w:r>
          </w:p>
        </w:tc>
        <w:tc>
          <w:tcPr>
            <w:tcW w:w="3540" w:type="dxa"/>
            <w:gridSpan w:val="3"/>
            <w:tcBorders>
              <w:top w:val="single" w:color="auto" w:sz="12"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特殊性税务处理（递延纳税）</w:t>
            </w:r>
          </w:p>
        </w:tc>
        <w:tc>
          <w:tcPr>
            <w:tcW w:w="1180" w:type="dxa"/>
            <w:vMerge w:val="restart"/>
            <w:tcBorders>
              <w:top w:val="single" w:color="auto" w:sz="12"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纳税调整金额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5620"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118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账载金额</w:t>
            </w:r>
          </w:p>
        </w:tc>
        <w:tc>
          <w:tcPr>
            <w:tcW w:w="118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税收金额</w:t>
            </w:r>
          </w:p>
        </w:tc>
        <w:tc>
          <w:tcPr>
            <w:tcW w:w="118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纳税调整金额</w:t>
            </w:r>
          </w:p>
        </w:tc>
        <w:tc>
          <w:tcPr>
            <w:tcW w:w="118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账载金额</w:t>
            </w:r>
          </w:p>
        </w:tc>
        <w:tc>
          <w:tcPr>
            <w:tcW w:w="118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税收金额</w:t>
            </w:r>
          </w:p>
        </w:tc>
        <w:tc>
          <w:tcPr>
            <w:tcW w:w="1180"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纳税调整金额</w:t>
            </w:r>
          </w:p>
        </w:tc>
        <w:tc>
          <w:tcPr>
            <w:tcW w:w="1180" w:type="dxa"/>
            <w:vMerge w:val="continue"/>
            <w:tcBorders>
              <w:top w:val="single" w:color="auto" w:sz="6" w:space="0"/>
              <w:bottom w:val="single" w:color="auto" w:sz="6" w:space="0"/>
            </w:tcBorders>
            <w:vAlign w:val="center"/>
          </w:tcPr>
          <w:p>
            <w:pPr>
              <w:widowControl/>
              <w:jc w:val="lef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40" w:type="dxa"/>
            <w:vMerge w:val="continue"/>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p>
        </w:tc>
        <w:tc>
          <w:tcPr>
            <w:tcW w:w="5620" w:type="dxa"/>
            <w:vMerge w:val="continue"/>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p>
        </w:tc>
        <w:tc>
          <w:tcPr>
            <w:tcW w:w="1180" w:type="dxa"/>
            <w:tcBorders>
              <w:top w:val="single" w:color="auto" w:sz="6" w:space="0"/>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80" w:type="dxa"/>
            <w:tcBorders>
              <w:top w:val="single" w:color="auto" w:sz="6" w:space="0"/>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80" w:type="dxa"/>
            <w:tcBorders>
              <w:top w:val="single" w:color="auto" w:sz="6" w:space="0"/>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3(2-1)</w:t>
            </w:r>
          </w:p>
        </w:tc>
        <w:tc>
          <w:tcPr>
            <w:tcW w:w="1180" w:type="dxa"/>
            <w:tcBorders>
              <w:top w:val="single" w:color="auto" w:sz="6" w:space="0"/>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80" w:type="dxa"/>
            <w:tcBorders>
              <w:top w:val="single" w:color="auto" w:sz="6" w:space="0"/>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80" w:type="dxa"/>
            <w:tcBorders>
              <w:top w:val="single" w:color="auto" w:sz="6" w:space="0"/>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6(5-4)</w:t>
            </w:r>
          </w:p>
        </w:tc>
        <w:tc>
          <w:tcPr>
            <w:tcW w:w="1180" w:type="dxa"/>
            <w:tcBorders>
              <w:top w:val="single" w:color="auto" w:sz="6" w:space="0"/>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tcBorders>
              <w:top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620" w:type="dxa"/>
            <w:tcBorders>
              <w:top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一、债务重组</w:t>
            </w:r>
          </w:p>
        </w:tc>
        <w:tc>
          <w:tcPr>
            <w:tcW w:w="1180" w:type="dxa"/>
            <w:tcBorders>
              <w:top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tcBorders>
              <w:top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tcBorders>
              <w:top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tcBorders>
              <w:top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tcBorders>
              <w:top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tcBorders>
              <w:top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tcBorders>
              <w:top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6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其中：以非货币性资产清偿债务</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56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债转股</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6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二、股权收购</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56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其中：涉及跨境重组的股权收购</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56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三、资产收购</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56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其中：涉及跨境重组的资产收购</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56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四、企业合并（9+10）</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562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（一）同一控制下企业合并</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5620"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（二）非同一控制下企业合并</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56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五、企业分立</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56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六、非货币性资产对外投资</w:t>
            </w:r>
          </w:p>
        </w:tc>
        <w:tc>
          <w:tcPr>
            <w:tcW w:w="1180" w:type="dxa"/>
            <w:shd w:val="clear" w:color="auto" w:fill="auto"/>
            <w:vAlign w:val="center"/>
          </w:tcPr>
          <w:p>
            <w:pPr>
              <w:widowControl/>
              <w:jc w:val="center"/>
              <w:rPr>
                <w:rFonts w:ascii="宋体" w:hAnsi="宋体" w:cs="宋体"/>
                <w:kern w:val="0"/>
                <w:sz w:val="20"/>
                <w:szCs w:val="20"/>
              </w:rPr>
            </w:pPr>
          </w:p>
        </w:tc>
        <w:tc>
          <w:tcPr>
            <w:tcW w:w="1180" w:type="dxa"/>
            <w:shd w:val="clear" w:color="auto" w:fill="auto"/>
            <w:vAlign w:val="center"/>
          </w:tcPr>
          <w:p>
            <w:pPr>
              <w:widowControl/>
              <w:jc w:val="center"/>
              <w:rPr>
                <w:rFonts w:ascii="宋体" w:hAnsi="宋体" w:cs="宋体"/>
                <w:kern w:val="0"/>
                <w:sz w:val="20"/>
                <w:szCs w:val="20"/>
              </w:rPr>
            </w:pPr>
          </w:p>
        </w:tc>
        <w:tc>
          <w:tcPr>
            <w:tcW w:w="1180" w:type="dxa"/>
            <w:shd w:val="clear" w:color="auto" w:fill="auto"/>
            <w:vAlign w:val="center"/>
          </w:tcPr>
          <w:p>
            <w:pPr>
              <w:widowControl/>
              <w:jc w:val="center"/>
              <w:rPr>
                <w:rFonts w:ascii="宋体" w:hAnsi="宋体" w:cs="宋体"/>
                <w:kern w:val="0"/>
                <w:sz w:val="20"/>
                <w:szCs w:val="20"/>
              </w:rPr>
            </w:pP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56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七、技术入股</w:t>
            </w:r>
          </w:p>
        </w:tc>
        <w:tc>
          <w:tcPr>
            <w:tcW w:w="1180" w:type="dxa"/>
            <w:shd w:val="clear" w:color="auto" w:fill="auto"/>
            <w:vAlign w:val="center"/>
          </w:tcPr>
          <w:p>
            <w:pPr>
              <w:widowControl/>
              <w:jc w:val="center"/>
              <w:rPr>
                <w:rFonts w:ascii="宋体" w:hAnsi="宋体" w:cs="宋体"/>
                <w:kern w:val="0"/>
                <w:sz w:val="20"/>
                <w:szCs w:val="20"/>
              </w:rPr>
            </w:pPr>
          </w:p>
        </w:tc>
        <w:tc>
          <w:tcPr>
            <w:tcW w:w="1180" w:type="dxa"/>
            <w:shd w:val="clear" w:color="auto" w:fill="auto"/>
            <w:vAlign w:val="center"/>
          </w:tcPr>
          <w:p>
            <w:pPr>
              <w:widowControl/>
              <w:jc w:val="center"/>
              <w:rPr>
                <w:rFonts w:ascii="宋体" w:hAnsi="宋体" w:cs="宋体"/>
                <w:kern w:val="0"/>
                <w:sz w:val="20"/>
                <w:szCs w:val="20"/>
              </w:rPr>
            </w:pPr>
          </w:p>
        </w:tc>
        <w:tc>
          <w:tcPr>
            <w:tcW w:w="1180" w:type="dxa"/>
            <w:shd w:val="clear" w:color="auto" w:fill="auto"/>
            <w:vAlign w:val="center"/>
          </w:tcPr>
          <w:p>
            <w:pPr>
              <w:widowControl/>
              <w:jc w:val="center"/>
              <w:rPr>
                <w:rFonts w:ascii="宋体" w:hAnsi="宋体" w:cs="宋体"/>
                <w:kern w:val="0"/>
                <w:sz w:val="20"/>
                <w:szCs w:val="20"/>
              </w:rPr>
            </w:pP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56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八、股权划转、资产划转</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56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九、其他</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562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合计（1+4+6+8+11+12+13+14+15）</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bl>
    <w:p>
      <w:pPr>
        <w:tabs>
          <w:tab w:val="left" w:pos="2220"/>
        </w:tabs>
        <w:sectPr>
          <w:pgSz w:w="16838" w:h="11906" w:orient="landscape"/>
          <w:pgMar w:top="1418" w:right="1985" w:bottom="1418" w:left="1928" w:header="851" w:footer="992" w:gutter="113"/>
          <w:cols w:space="425" w:num="1"/>
          <w:docGrid w:linePitch="312" w:charSpace="0"/>
        </w:sectPr>
      </w:pPr>
      <w:r>
        <w:tab/>
      </w:r>
    </w:p>
    <w:p>
      <w:pPr>
        <w:pStyle w:val="8"/>
        <w:spacing w:before="240" w:after="360"/>
      </w:pPr>
      <w:bookmarkStart w:id="65" w:name="_Toc499456590"/>
      <w:r>
        <w:rPr>
          <w:rFonts w:hint="eastAsia"/>
        </w:rPr>
        <w:t>A105100</w:t>
      </w:r>
      <w:r>
        <w:tab/>
      </w:r>
      <w:r>
        <w:rPr>
          <w:rFonts w:hint="eastAsia"/>
        </w:rPr>
        <w:t>《企业重组及递延纳税事项纳税调整明细表》填报说明</w:t>
      </w:r>
      <w:bookmarkEnd w:id="65"/>
    </w:p>
    <w:p>
      <w:pPr>
        <w:pStyle w:val="9"/>
      </w:pPr>
      <w:r>
        <w:rPr>
          <w:rFonts w:hint="eastAsia"/>
        </w:rPr>
        <w:t>本表适用于发生企业重组、非货币性资产对外投资、技术入股等业务的纳税人填报。纳税人发生企业重组事项的，在企业重组日所属纳税年度分析填报。纳税人根据税法、《财政部 国家税务总局关于企业重组业务企业所得税处理若干问题的通知》（财税〔2009〕59号）、《国家税务总局关于发布〈企业重组业务企业所得税管理办法〉的公告》（国家税务总局公告2010年第4号）、《财政部 国家税务总局关于中国（上海）自由贸易试验区内企业以非货币性资产对外投资等资产重组行为有关企业所得税政策问题的通知》（财税〔2013〕91号）、《财政部 国家税务总局关于非货币性资产投资企业所得税政策问题的通知》（财税〔2014〕116号）、《财政部 国家税务总局关于促进企业重组有关企业所得税处理问题的通知》（财税〔2014〕109号）、《国家税务总局关于非货币性资产投资企业所得税有关征管问题的公告》（国家税务总局公告2015年第33号）、《国家税务总局关于资产（股权）划转企业所得税征管问题的公告》（国家税务总局公告2015年第40号）、《国家税务总局关于企业重组业务企业所得税征收管理若干问题的公告》（国家税务总局公告2015年第48号）、《</w:t>
      </w:r>
      <w:r>
        <w:t>财政部 国家税务总局关于完善股权激励和技术入股有关所得税政策的通知</w:t>
      </w:r>
      <w:r>
        <w:rPr>
          <w:rFonts w:hint="eastAsia"/>
        </w:rPr>
        <w:t>》（</w:t>
      </w:r>
      <w:r>
        <w:t>财税〔2016〕101号</w:t>
      </w:r>
      <w:r>
        <w:rPr>
          <w:rFonts w:hint="eastAsia"/>
        </w:rPr>
        <w:t>）、《</w:t>
      </w:r>
      <w:r>
        <w:t>国家税务总局关于股权激励和技术入股所得税征管问题的公告</w:t>
      </w:r>
      <w:r>
        <w:rPr>
          <w:rFonts w:hint="eastAsia"/>
        </w:rPr>
        <w:t>》（</w:t>
      </w:r>
      <w:r>
        <w:t>国家税务总局公告2016年第62号</w:t>
      </w:r>
      <w:r>
        <w:rPr>
          <w:rFonts w:hint="eastAsia"/>
        </w:rPr>
        <w:t>）等相关规定，以及国家统一企业会计制度，填报企业重组、非货币资产对外投资、技术入股等业务的会计核算及税收规定，以及纳税调整情况。对于发生债务重组业务且选择特殊性税务处理（即债务重组所得可以在5个纳税年度均匀计入应纳税所得额）的纳税人，重组日所属纳税年度的以后纳税年度，也在本表进行债务重组的纳税调整。除上述债务重组所得可以分期确认应纳税所得额的企业重组外，其他涉及资产计税基础与会计核算成本差异调整的企业重组，本表不作调整，在《资产折旧、摊销及纳税调整明细表》（A105080）进行纳税调整。</w:t>
      </w:r>
    </w:p>
    <w:p>
      <w:pPr>
        <w:pStyle w:val="11"/>
        <w:ind w:firstLine="482"/>
      </w:pPr>
      <w:r>
        <w:rPr>
          <w:rFonts w:hint="eastAsia"/>
        </w:rPr>
        <w:t>一、有关项目填报说明</w:t>
      </w:r>
    </w:p>
    <w:p>
      <w:pPr>
        <w:pStyle w:val="12"/>
      </w:pPr>
      <w:r>
        <w:rPr>
          <w:rFonts w:hint="eastAsia"/>
        </w:rPr>
        <w:t>（一）行次填报</w:t>
      </w:r>
    </w:p>
    <w:p>
      <w:pPr>
        <w:pStyle w:val="9"/>
      </w:pPr>
      <w:r>
        <w:rPr>
          <w:rFonts w:hint="eastAsia"/>
        </w:rPr>
        <w:t>1.第1行“一、债务重组”：填报企业发生债务重组业务的相关金额。</w:t>
      </w:r>
    </w:p>
    <w:p>
      <w:pPr>
        <w:pStyle w:val="9"/>
      </w:pPr>
      <w:r>
        <w:rPr>
          <w:rFonts w:hint="eastAsia"/>
        </w:rPr>
        <w:t>2.第2行“其中：以非货币性资产清偿债务”：填报企业发生以非货币性资产清偿债务的债务重组业务的相关金额。</w:t>
      </w:r>
    </w:p>
    <w:p>
      <w:pPr>
        <w:pStyle w:val="9"/>
      </w:pPr>
      <w:r>
        <w:rPr>
          <w:rFonts w:hint="eastAsia"/>
        </w:rPr>
        <w:t>3.第3行“债转股”：填报企业发生债权转股权的债务重组业务的相关金额。</w:t>
      </w:r>
    </w:p>
    <w:p>
      <w:pPr>
        <w:pStyle w:val="9"/>
      </w:pPr>
      <w:r>
        <w:rPr>
          <w:rFonts w:hint="eastAsia"/>
        </w:rPr>
        <w:t>4.第4行“二、股权收购”：填报企业发生股权收购重组业务的相关金额。</w:t>
      </w:r>
    </w:p>
    <w:p>
      <w:pPr>
        <w:pStyle w:val="9"/>
      </w:pPr>
      <w:r>
        <w:rPr>
          <w:rFonts w:hint="eastAsia"/>
        </w:rPr>
        <w:t>5.第5行“其中：涉及跨境重组的股权收购”：填报企业发生涉及中国境内与境外之间、内地与港澳之间、大陆与台湾地区之间的股权收购交易重组业务的相关金额。</w:t>
      </w:r>
    </w:p>
    <w:p>
      <w:pPr>
        <w:pStyle w:val="9"/>
      </w:pPr>
      <w:r>
        <w:rPr>
          <w:rFonts w:hint="eastAsia"/>
        </w:rPr>
        <w:t>6.第6行“三、资产收购”：填报企业发生资产收购重组业务的相关金额。</w:t>
      </w:r>
    </w:p>
    <w:p>
      <w:pPr>
        <w:pStyle w:val="9"/>
      </w:pPr>
      <w:r>
        <w:rPr>
          <w:rFonts w:hint="eastAsia"/>
        </w:rPr>
        <w:t>7.第7行“其中：涉及跨境重组的资产收购”：填报企业发生涉及中国境内与境外之间、内地与港澳之间、大陆与台湾地区之间的资产收购交易重组业务的相关金额。</w:t>
      </w:r>
    </w:p>
    <w:p>
      <w:pPr>
        <w:pStyle w:val="9"/>
      </w:pPr>
      <w:r>
        <w:rPr>
          <w:rFonts w:hint="eastAsia"/>
        </w:rPr>
        <w:t>8.第8行“四、企业合并”：填报第9行和第10行的合计金额。</w:t>
      </w:r>
    </w:p>
    <w:p>
      <w:pPr>
        <w:pStyle w:val="9"/>
      </w:pPr>
      <w:r>
        <w:rPr>
          <w:rFonts w:hint="eastAsia"/>
        </w:rPr>
        <w:t>9.第9行“（一）同一控制下企业合并”：填报企业发生同一控制下企业合并重组业务的相关金额。</w:t>
      </w:r>
    </w:p>
    <w:p>
      <w:pPr>
        <w:pStyle w:val="9"/>
      </w:pPr>
      <w:r>
        <w:rPr>
          <w:rFonts w:hint="eastAsia"/>
        </w:rPr>
        <w:t>10.第10行“（二）非同一控制下企业合并”：填报企业发生非同一控制下企业合并重组业务的相关金额。</w:t>
      </w:r>
    </w:p>
    <w:p>
      <w:pPr>
        <w:pStyle w:val="9"/>
      </w:pPr>
      <w:r>
        <w:rPr>
          <w:rFonts w:hint="eastAsia"/>
        </w:rPr>
        <w:t>11.第11行“五、企业分立”：填报企业发生非同一控制下企业分立重组业务的相关金额。</w:t>
      </w:r>
    </w:p>
    <w:p>
      <w:pPr>
        <w:pStyle w:val="9"/>
      </w:pPr>
      <w:r>
        <w:rPr>
          <w:rFonts w:hint="eastAsia"/>
        </w:rPr>
        <w:t>12.第12行“六、非货币性资产对外投资”：填报企业发生非货币性资产对外投资的相关金额，符合《财政部 国家税务总局关于非货币性资产投资企业所得税政策问题的通知》（财税〔2014〕116号）和《国家税务总局关于非货币性资产投资企业所得税有关征管问题的公告》（国家税务总局公告2015年第33号）规定执行递延纳税政策的填写“特殊性税务处理（递延纳税）”相关列次。</w:t>
      </w:r>
    </w:p>
    <w:p>
      <w:pPr>
        <w:pStyle w:val="9"/>
      </w:pPr>
      <w:r>
        <w:rPr>
          <w:rFonts w:hint="eastAsia"/>
        </w:rPr>
        <w:t>13.第13行“七、技术入股”：填报企业以技术成果投资入股到境内居民企业，被投资企业支付对价全部为股票（权）的技术入股业务的相关金额，符合《</w:t>
      </w:r>
      <w:r>
        <w:t>财政部 国家税务总局关于完善股权激励和技术入股有关所得税政策的通知</w:t>
      </w:r>
      <w:r>
        <w:rPr>
          <w:rFonts w:hint="eastAsia"/>
        </w:rPr>
        <w:t>》（</w:t>
      </w:r>
      <w:r>
        <w:t>财税〔2016〕101号</w:t>
      </w:r>
      <w:r>
        <w:rPr>
          <w:rFonts w:hint="eastAsia"/>
        </w:rPr>
        <w:t>）、《</w:t>
      </w:r>
      <w:r>
        <w:t>国家税务总局关于股权激励和技术入股所得税征管问题的公告</w:t>
      </w:r>
      <w:r>
        <w:rPr>
          <w:rFonts w:hint="eastAsia"/>
        </w:rPr>
        <w:t>》（</w:t>
      </w:r>
      <w:r>
        <w:t>国家税务总局公告2016年第62号</w:t>
      </w:r>
      <w:r>
        <w:rPr>
          <w:rFonts w:hint="eastAsia"/>
        </w:rPr>
        <w:t>）规定适用递延纳税政策的填写“特殊性税务处理（递延纳税）”相关列次。</w:t>
      </w:r>
    </w:p>
    <w:p>
      <w:pPr>
        <w:pStyle w:val="9"/>
      </w:pPr>
      <w:r>
        <w:rPr>
          <w:rFonts w:hint="eastAsia"/>
        </w:rPr>
        <w:t>14.第14行“八、股权划转、资产划转”：填报企业发生</w:t>
      </w:r>
      <w:r>
        <w:t>资产（股权）划转</w:t>
      </w:r>
      <w:r>
        <w:rPr>
          <w:rFonts w:hint="eastAsia"/>
        </w:rPr>
        <w:t>业务的相关金额。</w:t>
      </w:r>
    </w:p>
    <w:p>
      <w:pPr>
        <w:pStyle w:val="12"/>
      </w:pPr>
      <w:r>
        <w:rPr>
          <w:rFonts w:hint="eastAsia"/>
        </w:rPr>
        <w:t>（二）列次填报</w:t>
      </w:r>
    </w:p>
    <w:p>
      <w:pPr>
        <w:pStyle w:val="9"/>
        <w:rPr>
          <w:color w:val="000000"/>
        </w:rPr>
      </w:pPr>
      <w:r>
        <w:rPr>
          <w:rFonts w:hint="eastAsia"/>
          <w:color w:val="000000"/>
        </w:rPr>
        <w:t>本表数据栏设置“一般性税务处理”“特殊性税务处理（递延纳税）”两大栏次，纳税人应根据企业重组所适用的税务处理办法，分别按照企业重组类型进行累计填报，</w:t>
      </w:r>
      <w:r>
        <w:rPr>
          <w:rFonts w:hint="eastAsia" w:cs="Arial"/>
        </w:rPr>
        <w:t>损失以“-”号填列</w:t>
      </w:r>
      <w:r>
        <w:rPr>
          <w:rFonts w:hint="eastAsia"/>
          <w:color w:val="000000"/>
        </w:rPr>
        <w:t>。</w:t>
      </w:r>
    </w:p>
    <w:p>
      <w:pPr>
        <w:pStyle w:val="9"/>
        <w:rPr>
          <w:color w:val="000000"/>
        </w:rPr>
      </w:pPr>
      <w:r>
        <w:rPr>
          <w:rFonts w:hint="eastAsia"/>
          <w:color w:val="000000"/>
        </w:rPr>
        <w:t>1.第1列“一般性税务处理-账载金额”：</w:t>
      </w:r>
      <w:r>
        <w:rPr>
          <w:rFonts w:hint="eastAsia"/>
        </w:rPr>
        <w:t>填报企业重组适用一般性税务处理或企业未发生递延纳税业务</w:t>
      </w:r>
      <w:r>
        <w:rPr>
          <w:rFonts w:hint="eastAsia"/>
          <w:color w:val="000000"/>
        </w:rPr>
        <w:t>，会计核算确认的企业损益金额。</w:t>
      </w:r>
    </w:p>
    <w:p>
      <w:pPr>
        <w:pStyle w:val="9"/>
        <w:rPr>
          <w:color w:val="000000"/>
        </w:rPr>
      </w:pPr>
      <w:r>
        <w:rPr>
          <w:rFonts w:hint="eastAsia"/>
          <w:color w:val="000000"/>
        </w:rPr>
        <w:t>2.第2列“一般性税务处理-税收金额”：</w:t>
      </w:r>
      <w:r>
        <w:rPr>
          <w:rFonts w:hint="eastAsia"/>
        </w:rPr>
        <w:t>填报企业重组适用一般性税务处理或企业未发生递延纳税业务</w:t>
      </w:r>
      <w:r>
        <w:rPr>
          <w:rFonts w:hint="eastAsia"/>
          <w:color w:val="000000"/>
        </w:rPr>
        <w:t>，按税收规定确认的所得（或损失）。</w:t>
      </w:r>
    </w:p>
    <w:p>
      <w:pPr>
        <w:pStyle w:val="9"/>
        <w:rPr>
          <w:color w:val="000000"/>
        </w:rPr>
      </w:pPr>
      <w:r>
        <w:rPr>
          <w:rFonts w:hint="eastAsia"/>
          <w:color w:val="000000"/>
        </w:rPr>
        <w:t>3.第3列“一般性税务处理-纳税调整金额”：</w:t>
      </w:r>
      <w:r>
        <w:rPr>
          <w:rFonts w:hint="eastAsia"/>
        </w:rPr>
        <w:t>填报企业重组适用一般性税务处理或企业未发生递延纳税业务</w:t>
      </w:r>
      <w:r>
        <w:rPr>
          <w:rFonts w:hint="eastAsia"/>
          <w:color w:val="000000"/>
        </w:rPr>
        <w:t>，按税收规定确认的所得（或损失）与会计核算确认的损益金额的差。为第2-1列的余额。</w:t>
      </w:r>
    </w:p>
    <w:p>
      <w:pPr>
        <w:pStyle w:val="9"/>
      </w:pPr>
      <w:r>
        <w:rPr>
          <w:rFonts w:hint="eastAsia"/>
        </w:rPr>
        <w:t>4.第4列“特殊性税务处理（递延纳税）-账载金额”：填报企业重组适用特殊性税务处理或企业发生递延纳税业务，会计核算确认的损益金额。</w:t>
      </w:r>
    </w:p>
    <w:p>
      <w:pPr>
        <w:pStyle w:val="9"/>
      </w:pPr>
      <w:r>
        <w:rPr>
          <w:rFonts w:hint="eastAsia"/>
        </w:rPr>
        <w:t>5.第5列“特殊性税务处理（递延纳税）-税收金额”：填报企业重组适用特殊性税务处理或企业发生递延纳税业务，按税收规定确认的所得（或损失）。</w:t>
      </w:r>
    </w:p>
    <w:p>
      <w:pPr>
        <w:pStyle w:val="9"/>
      </w:pPr>
      <w:r>
        <w:rPr>
          <w:rFonts w:hint="eastAsia"/>
        </w:rPr>
        <w:t>6.第6列“特殊性税务处理（递延纳税）-纳税调整金额”：填报企业重组适用特殊性税务处理或企业发生递延纳税业务，按税收规定确认的所得（或损失）与会计核算确认的损益金额的差额。为第5-4列的余额。</w:t>
      </w:r>
    </w:p>
    <w:p>
      <w:pPr>
        <w:pStyle w:val="9"/>
      </w:pPr>
      <w:r>
        <w:rPr>
          <w:rFonts w:hint="eastAsia"/>
        </w:rPr>
        <w:t>7.第7列“纳税调整金额”：填报第3+6列的合计金额。</w:t>
      </w:r>
    </w:p>
    <w:p>
      <w:pPr>
        <w:pStyle w:val="11"/>
        <w:ind w:firstLine="482"/>
      </w:pPr>
      <w:r>
        <w:rPr>
          <w:rFonts w:hint="eastAsia"/>
        </w:rPr>
        <w:t>二、表内、表间关系</w:t>
      </w:r>
    </w:p>
    <w:p>
      <w:pPr>
        <w:pStyle w:val="12"/>
      </w:pPr>
      <w:r>
        <w:rPr>
          <w:rFonts w:hint="eastAsia"/>
        </w:rPr>
        <w:t>（一）表内关系</w:t>
      </w:r>
    </w:p>
    <w:p>
      <w:pPr>
        <w:pStyle w:val="9"/>
        <w:rPr>
          <w:color w:val="000000"/>
        </w:rPr>
      </w:pPr>
      <w:r>
        <w:rPr>
          <w:rFonts w:hint="eastAsia"/>
          <w:color w:val="000000"/>
        </w:rPr>
        <w:t>1.第8行＝第9+10行。</w:t>
      </w:r>
    </w:p>
    <w:p>
      <w:pPr>
        <w:pStyle w:val="9"/>
        <w:rPr>
          <w:color w:val="000000"/>
        </w:rPr>
      </w:pPr>
      <w:r>
        <w:rPr>
          <w:rFonts w:hint="eastAsia"/>
          <w:color w:val="000000"/>
        </w:rPr>
        <w:t>2.第</w:t>
      </w:r>
      <w:r>
        <w:rPr>
          <w:color w:val="000000"/>
        </w:rPr>
        <w:t>16</w:t>
      </w:r>
      <w:r>
        <w:rPr>
          <w:rFonts w:hint="eastAsia"/>
          <w:color w:val="000000"/>
        </w:rPr>
        <w:t>行＝第1+4+6+8+11+12</w:t>
      </w:r>
      <w:r>
        <w:rPr>
          <w:color w:val="000000"/>
        </w:rPr>
        <w:t>+</w:t>
      </w:r>
      <w:r>
        <w:rPr>
          <w:rFonts w:hint="eastAsia"/>
          <w:color w:val="000000"/>
        </w:rPr>
        <w:t>13+</w:t>
      </w:r>
      <w:r>
        <w:rPr>
          <w:color w:val="000000"/>
        </w:rPr>
        <w:t>14+15</w:t>
      </w:r>
      <w:r>
        <w:rPr>
          <w:rFonts w:hint="eastAsia"/>
          <w:color w:val="000000"/>
        </w:rPr>
        <w:t>行。</w:t>
      </w:r>
    </w:p>
    <w:p>
      <w:pPr>
        <w:pStyle w:val="9"/>
        <w:rPr>
          <w:color w:val="000000"/>
        </w:rPr>
      </w:pPr>
      <w:r>
        <w:rPr>
          <w:rFonts w:hint="eastAsia"/>
          <w:color w:val="000000"/>
        </w:rPr>
        <w:t>3.第3列＝第2-1列。</w:t>
      </w:r>
    </w:p>
    <w:p>
      <w:pPr>
        <w:pStyle w:val="9"/>
        <w:rPr>
          <w:color w:val="000000"/>
        </w:rPr>
      </w:pPr>
      <w:r>
        <w:rPr>
          <w:rFonts w:hint="eastAsia"/>
          <w:color w:val="000000"/>
        </w:rPr>
        <w:t>4.第6列＝第5-4列。</w:t>
      </w:r>
    </w:p>
    <w:p>
      <w:pPr>
        <w:pStyle w:val="9"/>
        <w:rPr>
          <w:color w:val="000000"/>
        </w:rPr>
      </w:pPr>
      <w:r>
        <w:rPr>
          <w:rFonts w:hint="eastAsia"/>
          <w:color w:val="000000"/>
        </w:rPr>
        <w:t>5.第7列＝第3+6列。</w:t>
      </w:r>
    </w:p>
    <w:p>
      <w:pPr>
        <w:pStyle w:val="12"/>
      </w:pPr>
      <w:r>
        <w:rPr>
          <w:rFonts w:hint="eastAsia"/>
        </w:rPr>
        <w:t>（二）表间关系</w:t>
      </w:r>
    </w:p>
    <w:p>
      <w:pPr>
        <w:pStyle w:val="9"/>
        <w:rPr>
          <w:color w:val="000000"/>
        </w:rPr>
      </w:pPr>
      <w:r>
        <w:rPr>
          <w:rFonts w:hint="eastAsia"/>
          <w:color w:val="000000"/>
        </w:rPr>
        <w:t>1.第</w:t>
      </w:r>
      <w:r>
        <w:rPr>
          <w:color w:val="000000"/>
        </w:rPr>
        <w:t>16</w:t>
      </w:r>
      <w:r>
        <w:rPr>
          <w:rFonts w:hint="eastAsia"/>
          <w:color w:val="000000"/>
        </w:rPr>
        <w:t>行第1+4列＝表A105000第3</w:t>
      </w:r>
      <w:r>
        <w:rPr>
          <w:color w:val="000000"/>
        </w:rPr>
        <w:t>7</w:t>
      </w:r>
      <w:r>
        <w:rPr>
          <w:rFonts w:hint="eastAsia"/>
          <w:color w:val="000000"/>
        </w:rPr>
        <w:t>行第1列。</w:t>
      </w:r>
    </w:p>
    <w:p>
      <w:pPr>
        <w:pStyle w:val="9"/>
        <w:rPr>
          <w:color w:val="000000"/>
        </w:rPr>
      </w:pPr>
      <w:r>
        <w:rPr>
          <w:rFonts w:hint="eastAsia"/>
          <w:color w:val="000000"/>
        </w:rPr>
        <w:t>2.第</w:t>
      </w:r>
      <w:r>
        <w:rPr>
          <w:color w:val="000000"/>
        </w:rPr>
        <w:t>16</w:t>
      </w:r>
      <w:r>
        <w:rPr>
          <w:rFonts w:hint="eastAsia"/>
          <w:color w:val="000000"/>
        </w:rPr>
        <w:t>行第2+5列＝表A105000第3</w:t>
      </w:r>
      <w:r>
        <w:rPr>
          <w:color w:val="000000"/>
        </w:rPr>
        <w:t>7</w:t>
      </w:r>
      <w:r>
        <w:rPr>
          <w:rFonts w:hint="eastAsia"/>
          <w:color w:val="000000"/>
        </w:rPr>
        <w:t>行第2列。</w:t>
      </w:r>
    </w:p>
    <w:p>
      <w:pPr>
        <w:pStyle w:val="9"/>
        <w:rPr>
          <w:color w:val="000000"/>
        </w:rPr>
      </w:pPr>
      <w:r>
        <w:rPr>
          <w:rFonts w:hint="eastAsia"/>
          <w:color w:val="000000"/>
        </w:rPr>
        <w:t>3.若第</w:t>
      </w:r>
      <w:r>
        <w:rPr>
          <w:color w:val="000000"/>
        </w:rPr>
        <w:t>16</w:t>
      </w:r>
      <w:r>
        <w:rPr>
          <w:rFonts w:hint="eastAsia"/>
          <w:color w:val="000000"/>
        </w:rPr>
        <w:t>行第7列≥0，第</w:t>
      </w:r>
      <w:r>
        <w:rPr>
          <w:color w:val="000000"/>
        </w:rPr>
        <w:t>16</w:t>
      </w:r>
      <w:r>
        <w:rPr>
          <w:rFonts w:hint="eastAsia"/>
          <w:color w:val="000000"/>
        </w:rPr>
        <w:t>行第7列＝表A105000第</w:t>
      </w:r>
      <w:r>
        <w:rPr>
          <w:color w:val="000000"/>
        </w:rPr>
        <w:t>3</w:t>
      </w:r>
      <w:r>
        <w:rPr>
          <w:rFonts w:hint="eastAsia"/>
          <w:color w:val="000000"/>
        </w:rPr>
        <w:t>7行第3列；若第</w:t>
      </w:r>
      <w:r>
        <w:rPr>
          <w:color w:val="000000"/>
        </w:rPr>
        <w:t>16</w:t>
      </w:r>
      <w:r>
        <w:rPr>
          <w:rFonts w:hint="eastAsia"/>
          <w:color w:val="000000"/>
        </w:rPr>
        <w:t>行第7列＜0，第</w:t>
      </w:r>
      <w:r>
        <w:rPr>
          <w:color w:val="000000"/>
        </w:rPr>
        <w:t>16</w:t>
      </w:r>
      <w:r>
        <w:rPr>
          <w:rFonts w:hint="eastAsia"/>
          <w:color w:val="000000"/>
        </w:rPr>
        <w:t>行第7列的绝对值＝表A105000第</w:t>
      </w:r>
      <w:r>
        <w:rPr>
          <w:color w:val="000000"/>
        </w:rPr>
        <w:t>3</w:t>
      </w:r>
      <w:r>
        <w:rPr>
          <w:rFonts w:hint="eastAsia"/>
          <w:color w:val="000000"/>
        </w:rPr>
        <w:t>7行第4列。</w:t>
      </w:r>
    </w:p>
    <w:p>
      <w:pPr>
        <w:pStyle w:val="9"/>
        <w:rPr>
          <w:color w:val="000000"/>
        </w:rPr>
        <w:sectPr>
          <w:pgSz w:w="11906" w:h="16838"/>
          <w:pgMar w:top="1985" w:right="1418" w:bottom="1928" w:left="1418" w:header="851" w:footer="992" w:gutter="113"/>
          <w:cols w:space="425" w:num="1"/>
          <w:titlePg/>
          <w:docGrid w:linePitch="312" w:charSpace="0"/>
        </w:sectPr>
      </w:pPr>
    </w:p>
    <w:p>
      <w:pPr>
        <w:pStyle w:val="10"/>
      </w:pPr>
      <w:bookmarkStart w:id="66" w:name="_Toc499456591"/>
      <w:r>
        <w:rPr>
          <w:rFonts w:hint="eastAsia"/>
        </w:rPr>
        <w:t>A105110</w:t>
      </w:r>
      <w:r>
        <w:rPr>
          <w:rFonts w:hint="eastAsia"/>
        </w:rPr>
        <w:tab/>
      </w:r>
      <w:r>
        <w:rPr>
          <w:rFonts w:hint="eastAsia"/>
        </w:rPr>
        <w:t>政策性搬迁纳税调整明细表</w:t>
      </w:r>
      <w:bookmarkEnd w:id="66"/>
    </w:p>
    <w:tbl>
      <w:tblPr>
        <w:tblStyle w:val="7"/>
        <w:tblW w:w="97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6760"/>
        <w:gridCol w:w="23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6760" w:type="dxa"/>
            <w:shd w:val="clear" w:color="auto" w:fill="auto"/>
            <w:vAlign w:val="center"/>
          </w:tcPr>
          <w:p>
            <w:pPr>
              <w:widowControl/>
              <w:jc w:val="center"/>
              <w:rPr>
                <w:rFonts w:ascii="宋体" w:hAnsi="宋体" w:cs="宋体"/>
                <w:kern w:val="0"/>
                <w:sz w:val="20"/>
                <w:szCs w:val="20"/>
              </w:rPr>
            </w:pPr>
            <w:r>
              <w:rPr>
                <w:rFonts w:hint="eastAsia" w:ascii="宋体" w:hAnsi="宋体" w:cs="宋体"/>
                <w:spacing w:val="500"/>
                <w:kern w:val="0"/>
                <w:sz w:val="20"/>
                <w:szCs w:val="20"/>
                <w:fitText w:val="1400" w:id="11"/>
              </w:rPr>
              <w:t>项</w:t>
            </w:r>
            <w:r>
              <w:rPr>
                <w:rFonts w:hint="eastAsia" w:ascii="宋体" w:hAnsi="宋体" w:cs="宋体"/>
                <w:kern w:val="0"/>
                <w:sz w:val="20"/>
                <w:szCs w:val="20"/>
                <w:fitText w:val="1400" w:id="11"/>
              </w:rPr>
              <w:t>目</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spacing w:val="300"/>
                <w:kern w:val="0"/>
                <w:sz w:val="20"/>
                <w:szCs w:val="20"/>
                <w:fitText w:val="1000" w:id="12"/>
              </w:rPr>
              <w:t>金</w:t>
            </w:r>
            <w:r>
              <w:rPr>
                <w:rFonts w:hint="eastAsia" w:ascii="宋体" w:hAnsi="宋体" w:cs="宋体"/>
                <w:kern w:val="0"/>
                <w:sz w:val="20"/>
                <w:szCs w:val="20"/>
                <w:fitText w:val="1000" w:id="12"/>
              </w:rPr>
              <w:t>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一、搬迁收入(2+8)</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（一）搬迁补偿收入（3+4+5+6+7）</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1.对被征用资产价值的补偿</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2.因搬迁、安置而给予的补偿</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3.对停产停业形成的损失而给予的补偿</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4.资产搬迁过程中遭到毁损而取得的保险赔款</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5.其他补偿收入</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（二）搬迁资产处置收入</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二、搬迁支出(10+16)</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（一）搬迁费用支出(11+12+13+14+15)</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1.安置职工实际发生的费用</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2.停工期间支付给职工的工资及福利费</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3.临时存放搬迁资产而发生的费用</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4.各类资产搬迁安装费用</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5.其他与搬迁相关的费用</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（二）搬迁资产处置支出</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三、搬迁所得或损失（1-9）</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四、应计入本年应纳税所得额的搬迁所得或损失（19+20+21）</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其中：搬迁所得</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搬迁损失一次性扣除</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搬迁损失分期扣除</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五、计入当期损益的搬迁收益或损失</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六、以前年度搬迁损失当期扣除金额</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七、纳税调整金额（18-22-23）</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bl>
    <w:p>
      <w:pPr>
        <w:tabs>
          <w:tab w:val="left" w:pos="1350"/>
        </w:tabs>
      </w:pPr>
    </w:p>
    <w:p>
      <w:pPr>
        <w:tabs>
          <w:tab w:val="left" w:pos="1350"/>
        </w:tabs>
        <w:sectPr>
          <w:pgSz w:w="11906" w:h="16838"/>
          <w:pgMar w:top="1985" w:right="1418" w:bottom="1928" w:left="1418" w:header="851" w:footer="992" w:gutter="113"/>
          <w:cols w:space="425" w:num="1"/>
          <w:titlePg/>
          <w:docGrid w:linePitch="312" w:charSpace="0"/>
        </w:sectPr>
      </w:pPr>
      <w:r>
        <w:tab/>
      </w:r>
    </w:p>
    <w:p>
      <w:pPr>
        <w:pStyle w:val="8"/>
        <w:spacing w:before="240" w:after="360"/>
        <w:rPr>
          <w:color w:val="000000"/>
        </w:rPr>
      </w:pPr>
      <w:bookmarkStart w:id="67" w:name="_Toc499456592"/>
      <w:r>
        <w:rPr>
          <w:rFonts w:hint="eastAsia"/>
          <w:color w:val="000000"/>
        </w:rPr>
        <w:t>A105110</w:t>
      </w:r>
      <w:r>
        <w:rPr>
          <w:color w:val="000000"/>
        </w:rPr>
        <w:tab/>
      </w:r>
      <w:r>
        <w:rPr>
          <w:rFonts w:hint="eastAsia"/>
          <w:color w:val="000000"/>
        </w:rPr>
        <w:t>《政策性搬迁纳税调整明细表》填报说明</w:t>
      </w:r>
      <w:bookmarkEnd w:id="67"/>
    </w:p>
    <w:p>
      <w:pPr>
        <w:pStyle w:val="9"/>
        <w:rPr>
          <w:color w:val="000000"/>
        </w:rPr>
      </w:pPr>
      <w:r>
        <w:rPr>
          <w:rFonts w:hint="eastAsia"/>
          <w:color w:val="000000"/>
        </w:rPr>
        <w:t>本表适用于发生政策性搬迁纳税调整项目的纳税人在完成搬迁年度及以后进行损失分期扣除的年度填报。纳税人根据税法、《国家税务总局关于发布〈企业政策性搬迁所得税管理办法〉的公告》（国家税务总局公告2012年第40号）、《国家税务总局关于企业政策性搬迁所得税有关问题的公告》（国家税务总局公告2013年第11号）等相关规定，以及国家统一企业会计制度，填报企业政策性搬迁项目的相关会计处理、税收规定及纳税调整情况。</w:t>
      </w:r>
    </w:p>
    <w:p>
      <w:pPr>
        <w:pStyle w:val="11"/>
        <w:ind w:firstLine="482"/>
      </w:pPr>
      <w:r>
        <w:rPr>
          <w:rFonts w:hint="eastAsia"/>
        </w:rPr>
        <w:t>一、有关项目填报说明</w:t>
      </w:r>
    </w:p>
    <w:p>
      <w:pPr>
        <w:pStyle w:val="9"/>
        <w:rPr>
          <w:color w:val="000000"/>
        </w:rPr>
      </w:pPr>
      <w:r>
        <w:rPr>
          <w:rFonts w:hint="eastAsia"/>
          <w:color w:val="000000"/>
        </w:rPr>
        <w:t>本表第1行“一、搬迁收入”至第21行“搬迁损失分期扣除”的金额，按照税收规定确认的政策性搬迁清算累计数填报。</w:t>
      </w:r>
    </w:p>
    <w:p>
      <w:pPr>
        <w:pStyle w:val="9"/>
        <w:rPr>
          <w:color w:val="000000"/>
        </w:rPr>
      </w:pPr>
      <w:r>
        <w:rPr>
          <w:rFonts w:hint="eastAsia"/>
          <w:color w:val="000000"/>
        </w:rPr>
        <w:t>1.第1行“一、搬迁收入”：填报第2+8行的合计金额。</w:t>
      </w:r>
    </w:p>
    <w:p>
      <w:pPr>
        <w:pStyle w:val="9"/>
        <w:rPr>
          <w:color w:val="000000"/>
        </w:rPr>
      </w:pPr>
      <w:r>
        <w:rPr>
          <w:rFonts w:hint="eastAsia"/>
          <w:color w:val="000000"/>
        </w:rPr>
        <w:t>2.第2行“（一）搬迁补偿收入”：填报按税收规定确认的，纳税人从本企业以外取得的搬迁补偿收入金额，此行为第3行至第7行的合计金额。</w:t>
      </w:r>
    </w:p>
    <w:p>
      <w:pPr>
        <w:pStyle w:val="9"/>
        <w:rPr>
          <w:color w:val="000000"/>
        </w:rPr>
      </w:pPr>
      <w:r>
        <w:rPr>
          <w:rFonts w:hint="eastAsia"/>
          <w:color w:val="000000"/>
        </w:rPr>
        <w:t>3.第3行“1.对被征用资产价值的补偿”：填报按税收规定确认的，纳税人被征用资产价值补偿收入累计金额。</w:t>
      </w:r>
    </w:p>
    <w:p>
      <w:pPr>
        <w:pStyle w:val="9"/>
        <w:rPr>
          <w:color w:val="000000"/>
        </w:rPr>
      </w:pPr>
      <w:r>
        <w:rPr>
          <w:rFonts w:hint="eastAsia"/>
          <w:color w:val="000000"/>
        </w:rPr>
        <w:t>4.第4行“2.因搬迁、安置而给予的补偿”：填报按税收规定确认的，纳税人因搬迁、安置而取得的补偿收入累计金额。</w:t>
      </w:r>
    </w:p>
    <w:p>
      <w:pPr>
        <w:pStyle w:val="9"/>
        <w:rPr>
          <w:color w:val="000000"/>
        </w:rPr>
      </w:pPr>
      <w:r>
        <w:rPr>
          <w:rFonts w:hint="eastAsia"/>
          <w:color w:val="000000"/>
        </w:rPr>
        <w:t>5.第5行“3.对停产停业形成的损失而给予的补偿”：填报按税收规定确认的，纳税人停产停业形成损失而取得的补偿收入累计金额。</w:t>
      </w:r>
    </w:p>
    <w:p>
      <w:pPr>
        <w:pStyle w:val="9"/>
        <w:rPr>
          <w:color w:val="000000"/>
        </w:rPr>
      </w:pPr>
      <w:r>
        <w:rPr>
          <w:rFonts w:hint="eastAsia"/>
          <w:color w:val="000000"/>
        </w:rPr>
        <w:t>6.第6行“4.资产搬迁过程中遭到毁损而取得的保险赔款”：填报按税收规定确认，纳税人资产搬迁过程中遭到毁损而取得的保险赔款收入累计金额。</w:t>
      </w:r>
    </w:p>
    <w:p>
      <w:pPr>
        <w:pStyle w:val="9"/>
        <w:rPr>
          <w:color w:val="000000"/>
        </w:rPr>
      </w:pPr>
      <w:r>
        <w:rPr>
          <w:rFonts w:hint="eastAsia"/>
          <w:color w:val="000000"/>
        </w:rPr>
        <w:t>7.第7行“5.其他补偿收入”：填报按税收规定确认，纳税人其他补偿收入累计金额。</w:t>
      </w:r>
    </w:p>
    <w:p>
      <w:pPr>
        <w:pStyle w:val="9"/>
        <w:rPr>
          <w:color w:val="000000"/>
        </w:rPr>
      </w:pPr>
      <w:r>
        <w:rPr>
          <w:rFonts w:hint="eastAsia"/>
          <w:color w:val="000000"/>
        </w:rPr>
        <w:t>8.第8行“（二）搬迁资产处置收入”：填报按税收规定确认，纳税人由于搬迁而处置各类资产所取得的收入累计金额。</w:t>
      </w:r>
    </w:p>
    <w:p>
      <w:pPr>
        <w:pStyle w:val="9"/>
        <w:rPr>
          <w:color w:val="000000"/>
        </w:rPr>
      </w:pPr>
      <w:r>
        <w:rPr>
          <w:rFonts w:hint="eastAsia"/>
          <w:color w:val="000000"/>
        </w:rPr>
        <w:t>9.第9行“二、搬迁支出”：填报第10+16行的合计金额。</w:t>
      </w:r>
    </w:p>
    <w:p>
      <w:pPr>
        <w:pStyle w:val="9"/>
        <w:rPr>
          <w:color w:val="000000"/>
        </w:rPr>
      </w:pPr>
      <w:r>
        <w:rPr>
          <w:rFonts w:hint="eastAsia"/>
          <w:color w:val="000000"/>
        </w:rPr>
        <w:t>10.第10行“（一）搬迁费用支出”：填报按税收规定确认，纳税人搬迁过程中发生的费用支出累计金额，为第11行至第15行的合计金额。</w:t>
      </w:r>
    </w:p>
    <w:p>
      <w:pPr>
        <w:pStyle w:val="9"/>
        <w:rPr>
          <w:color w:val="000000"/>
        </w:rPr>
      </w:pPr>
      <w:r>
        <w:rPr>
          <w:rFonts w:hint="eastAsia"/>
          <w:color w:val="000000"/>
        </w:rPr>
        <w:t>11.第11行“1.安置职工实际发生的费用”：填报按税收规定确认，纳税人安置职工实际发生费用支出的累计金额。</w:t>
      </w:r>
    </w:p>
    <w:p>
      <w:pPr>
        <w:pStyle w:val="9"/>
        <w:rPr>
          <w:color w:val="000000"/>
        </w:rPr>
      </w:pPr>
      <w:r>
        <w:rPr>
          <w:rFonts w:hint="eastAsia"/>
          <w:color w:val="000000"/>
        </w:rPr>
        <w:t>12.第12行“2.停工期间支付给职工的工资及福利费”：填报按税收规定确认，纳税人因停工支付给职工的工资及福利费支出累计金额。</w:t>
      </w:r>
    </w:p>
    <w:p>
      <w:pPr>
        <w:pStyle w:val="9"/>
        <w:rPr>
          <w:color w:val="000000"/>
        </w:rPr>
      </w:pPr>
      <w:r>
        <w:rPr>
          <w:rFonts w:hint="eastAsia"/>
          <w:color w:val="000000"/>
        </w:rPr>
        <w:t>13.第13行“3.临时存放搬迁资产而发生的费用”：填报按税收规定确认，纳税人临时存放搬迁资产发生的费用支出累计金额。</w:t>
      </w:r>
    </w:p>
    <w:p>
      <w:pPr>
        <w:pStyle w:val="9"/>
        <w:rPr>
          <w:color w:val="000000"/>
        </w:rPr>
      </w:pPr>
      <w:r>
        <w:rPr>
          <w:rFonts w:hint="eastAsia"/>
          <w:color w:val="000000"/>
        </w:rPr>
        <w:t>14.第14行“4.各类资产搬迁安装费用”：填报按税收规定确认，纳税人各类资产搬迁安装费用支出累计金额。</w:t>
      </w:r>
    </w:p>
    <w:p>
      <w:pPr>
        <w:pStyle w:val="9"/>
        <w:rPr>
          <w:color w:val="000000"/>
        </w:rPr>
      </w:pPr>
      <w:r>
        <w:rPr>
          <w:rFonts w:hint="eastAsia"/>
          <w:color w:val="000000"/>
        </w:rPr>
        <w:t>15.第15行“5.其他与搬迁相关的费用”：填报按税收规定确认，纳税人其他与搬迁相关的费用支出累计金额。</w:t>
      </w:r>
    </w:p>
    <w:p>
      <w:pPr>
        <w:pStyle w:val="9"/>
        <w:rPr>
          <w:color w:val="000000"/>
        </w:rPr>
      </w:pPr>
      <w:r>
        <w:rPr>
          <w:rFonts w:hint="eastAsia"/>
          <w:color w:val="000000"/>
        </w:rPr>
        <w:t>16.第16行“（二）搬迁资产处置支出”：填报按税收规定确认的，纳税人搬迁资产处置支出累计金额。符合《国家税务总局关于企业政策性搬迁所得税有关问题的公告》（国家税务总局公告2013年第11号）规定的资产购置支出，填报在本行。</w:t>
      </w:r>
    </w:p>
    <w:p>
      <w:pPr>
        <w:pStyle w:val="9"/>
        <w:rPr>
          <w:color w:val="000000"/>
        </w:rPr>
      </w:pPr>
      <w:r>
        <w:rPr>
          <w:rFonts w:hint="eastAsia"/>
          <w:color w:val="000000"/>
        </w:rPr>
        <w:t>17.第17行“三、搬迁所得或损失”：填报政策性搬迁所得或损失，填报第1-9行的余额，</w:t>
      </w:r>
      <w:r>
        <w:rPr>
          <w:rFonts w:hint="eastAsia" w:cs="Arial"/>
        </w:rPr>
        <w:t>损失以“-”号填列</w:t>
      </w:r>
      <w:r>
        <w:rPr>
          <w:rFonts w:hint="eastAsia"/>
          <w:color w:val="000000"/>
        </w:rPr>
        <w:t>。</w:t>
      </w:r>
    </w:p>
    <w:p>
      <w:pPr>
        <w:pStyle w:val="9"/>
        <w:rPr>
          <w:color w:val="000000"/>
        </w:rPr>
      </w:pPr>
      <w:r>
        <w:rPr>
          <w:rFonts w:hint="eastAsia"/>
          <w:color w:val="000000"/>
        </w:rPr>
        <w:t>18.第18行“四、应计入本年应纳税所得额的搬迁所得或损失”：填报政策性搬迁所得或损失按照税收规定计入本年应纳税所得额的金额，填报第19行至第21行的合计金额，</w:t>
      </w:r>
      <w:r>
        <w:rPr>
          <w:rFonts w:hint="eastAsia" w:cs="Arial"/>
        </w:rPr>
        <w:t>损失以“-”号填列</w:t>
      </w:r>
      <w:r>
        <w:rPr>
          <w:rFonts w:hint="eastAsia"/>
          <w:color w:val="000000"/>
        </w:rPr>
        <w:t>。</w:t>
      </w:r>
    </w:p>
    <w:p>
      <w:pPr>
        <w:pStyle w:val="9"/>
        <w:rPr>
          <w:color w:val="000000"/>
        </w:rPr>
      </w:pPr>
      <w:r>
        <w:rPr>
          <w:rFonts w:hint="eastAsia"/>
          <w:color w:val="000000"/>
        </w:rPr>
        <w:t>19.第19行“其中：搬迁所得”：填报按税法相关规定，搬迁完成年度政策性搬迁所得的金额。</w:t>
      </w:r>
    </w:p>
    <w:p>
      <w:pPr>
        <w:pStyle w:val="9"/>
        <w:rPr>
          <w:color w:val="000000"/>
        </w:rPr>
      </w:pPr>
      <w:r>
        <w:rPr>
          <w:rFonts w:hint="eastAsia"/>
          <w:color w:val="000000"/>
        </w:rPr>
        <w:t>20.第20行“搬迁损失一次性扣除”：由选择一次性扣除搬迁损失的纳税人填报，填报搬迁完成年度按照税收规定计算的搬迁损失金额，</w:t>
      </w:r>
      <w:r>
        <w:rPr>
          <w:rFonts w:hint="eastAsia" w:cs="Arial"/>
        </w:rPr>
        <w:t>损失以“-”号填列</w:t>
      </w:r>
      <w:r>
        <w:rPr>
          <w:rFonts w:hint="eastAsia"/>
          <w:color w:val="000000"/>
        </w:rPr>
        <w:t>。</w:t>
      </w:r>
    </w:p>
    <w:p>
      <w:pPr>
        <w:pStyle w:val="9"/>
        <w:rPr>
          <w:color w:val="000000"/>
        </w:rPr>
      </w:pPr>
      <w:r>
        <w:rPr>
          <w:rFonts w:hint="eastAsia"/>
          <w:color w:val="000000"/>
        </w:rPr>
        <w:t>21.第21行“搬迁损失分期扣除”：由选择分期扣除搬迁损失的纳税人填报，填报搬迁完成年度按照税收规定计算的搬迁损失在本年扣除的金额，</w:t>
      </w:r>
      <w:r>
        <w:rPr>
          <w:rFonts w:hint="eastAsia" w:cs="Arial"/>
        </w:rPr>
        <w:t>损失以“-”号填列</w:t>
      </w:r>
      <w:r>
        <w:rPr>
          <w:rFonts w:hint="eastAsia"/>
          <w:color w:val="000000"/>
        </w:rPr>
        <w:t>。</w:t>
      </w:r>
    </w:p>
    <w:p>
      <w:pPr>
        <w:pStyle w:val="9"/>
        <w:rPr>
          <w:color w:val="000000"/>
        </w:rPr>
      </w:pPr>
      <w:r>
        <w:rPr>
          <w:rFonts w:hint="eastAsia"/>
          <w:color w:val="000000"/>
        </w:rPr>
        <w:t>22.第22行“五、计入当期损益的搬迁收益或损失”：填报政策性搬迁项目会计核算计入当期损益的金额，</w:t>
      </w:r>
      <w:r>
        <w:rPr>
          <w:rFonts w:hint="eastAsia" w:cs="Arial"/>
        </w:rPr>
        <w:t>损失以“-”号填列</w:t>
      </w:r>
      <w:r>
        <w:rPr>
          <w:rFonts w:hint="eastAsia"/>
          <w:color w:val="000000"/>
        </w:rPr>
        <w:t>。</w:t>
      </w:r>
    </w:p>
    <w:p>
      <w:pPr>
        <w:pStyle w:val="9"/>
        <w:rPr>
          <w:color w:val="000000"/>
        </w:rPr>
      </w:pPr>
      <w:r>
        <w:rPr>
          <w:rFonts w:hint="eastAsia"/>
          <w:color w:val="000000"/>
        </w:rPr>
        <w:t>23.第23行“六、以前年度搬迁损失当期扣除金额”：以前年度完成搬迁形成的损失，按照税收规定在当期扣除的金额。</w:t>
      </w:r>
    </w:p>
    <w:p>
      <w:pPr>
        <w:pStyle w:val="9"/>
        <w:rPr>
          <w:color w:val="000000"/>
        </w:rPr>
      </w:pPr>
      <w:r>
        <w:rPr>
          <w:rFonts w:hint="eastAsia"/>
          <w:color w:val="000000"/>
        </w:rPr>
        <w:t>24.第24行“七、纳税调整金额”：填报第18-22-23行的余额。</w:t>
      </w:r>
    </w:p>
    <w:p>
      <w:pPr>
        <w:pStyle w:val="11"/>
        <w:ind w:firstLine="482"/>
      </w:pPr>
      <w:r>
        <w:rPr>
          <w:rFonts w:hint="eastAsia"/>
        </w:rPr>
        <w:t>二、表内、表间关系</w:t>
      </w:r>
    </w:p>
    <w:p>
      <w:pPr>
        <w:pStyle w:val="12"/>
      </w:pPr>
      <w:r>
        <w:rPr>
          <w:rFonts w:hint="eastAsia"/>
        </w:rPr>
        <w:t>（一）表内关系</w:t>
      </w:r>
    </w:p>
    <w:p>
      <w:pPr>
        <w:pStyle w:val="9"/>
        <w:rPr>
          <w:color w:val="000000"/>
        </w:rPr>
      </w:pPr>
      <w:r>
        <w:rPr>
          <w:rFonts w:hint="eastAsia"/>
          <w:color w:val="000000"/>
        </w:rPr>
        <w:t>1.第1行＝第2+8行。</w:t>
      </w:r>
    </w:p>
    <w:p>
      <w:pPr>
        <w:pStyle w:val="9"/>
        <w:rPr>
          <w:color w:val="000000"/>
        </w:rPr>
      </w:pPr>
      <w:r>
        <w:rPr>
          <w:rFonts w:hint="eastAsia"/>
          <w:color w:val="000000"/>
        </w:rPr>
        <w:t>2.第2行＝第3+4+</w:t>
      </w:r>
      <w:r>
        <w:rPr>
          <w:color w:val="000000"/>
        </w:rPr>
        <w:t>…</w:t>
      </w:r>
      <w:r>
        <w:rPr>
          <w:rFonts w:hint="eastAsia"/>
          <w:color w:val="000000"/>
        </w:rPr>
        <w:t>+7行。</w:t>
      </w:r>
    </w:p>
    <w:p>
      <w:pPr>
        <w:pStyle w:val="9"/>
        <w:rPr>
          <w:color w:val="000000"/>
        </w:rPr>
      </w:pPr>
      <w:r>
        <w:rPr>
          <w:rFonts w:hint="eastAsia"/>
          <w:color w:val="000000"/>
        </w:rPr>
        <w:t>3.第9行＝第10+16行。</w:t>
      </w:r>
    </w:p>
    <w:p>
      <w:pPr>
        <w:pStyle w:val="9"/>
        <w:rPr>
          <w:color w:val="000000"/>
        </w:rPr>
      </w:pPr>
      <w:r>
        <w:rPr>
          <w:rFonts w:hint="eastAsia"/>
          <w:color w:val="000000"/>
        </w:rPr>
        <w:t>4.第10行＝第11+12+</w:t>
      </w:r>
      <w:r>
        <w:rPr>
          <w:color w:val="000000"/>
        </w:rPr>
        <w:t>…</w:t>
      </w:r>
      <w:r>
        <w:rPr>
          <w:rFonts w:hint="eastAsia"/>
          <w:color w:val="000000"/>
        </w:rPr>
        <w:t>+15行。</w:t>
      </w:r>
    </w:p>
    <w:p>
      <w:pPr>
        <w:pStyle w:val="9"/>
        <w:rPr>
          <w:color w:val="000000"/>
        </w:rPr>
      </w:pPr>
      <w:r>
        <w:rPr>
          <w:rFonts w:hint="eastAsia"/>
          <w:color w:val="000000"/>
        </w:rPr>
        <w:t>5.第17行＝第1-9行。</w:t>
      </w:r>
    </w:p>
    <w:p>
      <w:pPr>
        <w:pStyle w:val="9"/>
        <w:rPr>
          <w:color w:val="000000"/>
        </w:rPr>
      </w:pPr>
      <w:r>
        <w:rPr>
          <w:rFonts w:hint="eastAsia"/>
          <w:color w:val="000000"/>
        </w:rPr>
        <w:t>6.第18行＝第19+20+21行。</w:t>
      </w:r>
    </w:p>
    <w:p>
      <w:pPr>
        <w:pStyle w:val="9"/>
        <w:rPr>
          <w:color w:val="000000"/>
        </w:rPr>
      </w:pPr>
      <w:r>
        <w:rPr>
          <w:rFonts w:hint="eastAsia"/>
          <w:color w:val="000000"/>
        </w:rPr>
        <w:t>7.第24行＝第18-22-23行。</w:t>
      </w:r>
    </w:p>
    <w:p>
      <w:pPr>
        <w:pStyle w:val="12"/>
      </w:pPr>
      <w:r>
        <w:rPr>
          <w:rFonts w:hint="eastAsia"/>
        </w:rPr>
        <w:t>（二）表间关系</w:t>
      </w:r>
    </w:p>
    <w:p>
      <w:pPr>
        <w:pStyle w:val="9"/>
        <w:rPr>
          <w:color w:val="000000"/>
        </w:rPr>
      </w:pPr>
      <w:r>
        <w:rPr>
          <w:rFonts w:hint="eastAsia"/>
          <w:color w:val="000000"/>
        </w:rPr>
        <w:t>若第24行≥0，第24行＝表A105000第</w:t>
      </w:r>
      <w:r>
        <w:rPr>
          <w:color w:val="000000"/>
        </w:rPr>
        <w:t>3</w:t>
      </w:r>
      <w:r>
        <w:rPr>
          <w:rFonts w:hint="eastAsia"/>
          <w:color w:val="000000"/>
        </w:rPr>
        <w:t>8行第3列；若第24行＜0，第24行的绝对值＝表A105000第</w:t>
      </w:r>
      <w:r>
        <w:rPr>
          <w:color w:val="000000"/>
        </w:rPr>
        <w:t>3</w:t>
      </w:r>
      <w:r>
        <w:rPr>
          <w:rFonts w:hint="eastAsia"/>
          <w:color w:val="000000"/>
        </w:rPr>
        <w:t>8行第4列。</w:t>
      </w:r>
    </w:p>
    <w:p>
      <w:pPr>
        <w:pStyle w:val="9"/>
        <w:rPr>
          <w:color w:val="000000"/>
        </w:rPr>
        <w:sectPr>
          <w:pgSz w:w="11906" w:h="16838"/>
          <w:pgMar w:top="1985" w:right="1418" w:bottom="1928" w:left="1418" w:header="851" w:footer="992" w:gutter="113"/>
          <w:cols w:space="425" w:num="1"/>
          <w:docGrid w:linePitch="312" w:charSpace="0"/>
        </w:sectPr>
      </w:pPr>
    </w:p>
    <w:p>
      <w:pPr>
        <w:pStyle w:val="10"/>
      </w:pPr>
      <w:bookmarkStart w:id="68" w:name="_Toc499456593"/>
      <w:r>
        <w:rPr>
          <w:rFonts w:hint="eastAsia"/>
        </w:rPr>
        <w:t>A105120</w:t>
      </w:r>
      <w:r>
        <w:tab/>
      </w:r>
      <w:r>
        <w:rPr>
          <w:rFonts w:hint="eastAsia"/>
        </w:rPr>
        <w:t>特殊行业准备金及纳税调整明细表</w:t>
      </w:r>
      <w:bookmarkEnd w:id="68"/>
    </w:p>
    <w:tbl>
      <w:tblPr>
        <w:tblStyle w:val="7"/>
        <w:tblW w:w="940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2492"/>
        <w:gridCol w:w="853"/>
        <w:gridCol w:w="1617"/>
        <w:gridCol w:w="1180"/>
        <w:gridCol w:w="118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4962" w:type="dxa"/>
            <w:gridSpan w:val="3"/>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spacing w:val="500"/>
                <w:kern w:val="0"/>
                <w:sz w:val="20"/>
                <w:szCs w:val="20"/>
                <w:fitText w:val="1400" w:id="13"/>
              </w:rPr>
              <w:t>项</w:t>
            </w:r>
            <w:r>
              <w:rPr>
                <w:rFonts w:hint="eastAsia" w:ascii="宋体" w:hAnsi="宋体" w:cs="宋体"/>
                <w:kern w:val="0"/>
                <w:sz w:val="20"/>
                <w:szCs w:val="20"/>
                <w:fitText w:val="1400" w:id="13"/>
              </w:rPr>
              <w:t>目</w:t>
            </w:r>
          </w:p>
        </w:tc>
        <w:tc>
          <w:tcPr>
            <w:tcW w:w="118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账载金额</w:t>
            </w:r>
          </w:p>
        </w:tc>
        <w:tc>
          <w:tcPr>
            <w:tcW w:w="118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税收金额</w:t>
            </w:r>
          </w:p>
        </w:tc>
        <w:tc>
          <w:tcPr>
            <w:tcW w:w="14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纳税调整金额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vMerge w:val="continue"/>
            <w:shd w:val="clear" w:color="auto" w:fill="auto"/>
            <w:vAlign w:val="center"/>
          </w:tcPr>
          <w:p>
            <w:pPr>
              <w:widowControl/>
              <w:jc w:val="left"/>
              <w:rPr>
                <w:rFonts w:ascii="宋体" w:hAnsi="宋体" w:cs="宋体"/>
                <w:kern w:val="0"/>
                <w:sz w:val="20"/>
                <w:szCs w:val="20"/>
              </w:rPr>
            </w:pPr>
          </w:p>
        </w:tc>
        <w:tc>
          <w:tcPr>
            <w:tcW w:w="4962" w:type="dxa"/>
            <w:gridSpan w:val="3"/>
            <w:vMerge w:val="continue"/>
            <w:shd w:val="clear" w:color="auto" w:fill="auto"/>
            <w:vAlign w:val="center"/>
          </w:tcPr>
          <w:p>
            <w:pPr>
              <w:widowControl/>
              <w:jc w:val="left"/>
              <w:rPr>
                <w:rFonts w:ascii="宋体" w:hAnsi="宋体" w:cs="宋体"/>
                <w:kern w:val="0"/>
                <w:sz w:val="20"/>
                <w:szCs w:val="20"/>
              </w:rPr>
            </w:pPr>
          </w:p>
        </w:tc>
        <w:tc>
          <w:tcPr>
            <w:tcW w:w="118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8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4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962" w:type="dxa"/>
            <w:gridSpan w:val="3"/>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一、保险公司（2+13+14+15+16+19+20）</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（一）保险保障基金（3+4+5+…+12）</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492" w:type="dxa"/>
            <w:vMerge w:val="restart"/>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1.财产保险业务</w:t>
            </w:r>
          </w:p>
        </w:tc>
        <w:tc>
          <w:tcPr>
            <w:tcW w:w="2470"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非投资型</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492" w:type="dxa"/>
            <w:vMerge w:val="continue"/>
            <w:shd w:val="clear" w:color="auto" w:fill="auto"/>
            <w:vAlign w:val="center"/>
          </w:tcPr>
          <w:p>
            <w:pPr>
              <w:widowControl/>
              <w:jc w:val="left"/>
              <w:rPr>
                <w:rFonts w:ascii="宋体" w:hAnsi="宋体" w:cs="宋体"/>
                <w:kern w:val="0"/>
                <w:sz w:val="20"/>
                <w:szCs w:val="20"/>
              </w:rPr>
            </w:pPr>
          </w:p>
        </w:tc>
        <w:tc>
          <w:tcPr>
            <w:tcW w:w="853" w:type="dxa"/>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投资型</w:t>
            </w:r>
          </w:p>
        </w:tc>
        <w:tc>
          <w:tcPr>
            <w:tcW w:w="161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保证收益</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492" w:type="dxa"/>
            <w:vMerge w:val="continue"/>
            <w:shd w:val="clear" w:color="auto" w:fill="auto"/>
            <w:vAlign w:val="center"/>
          </w:tcPr>
          <w:p>
            <w:pPr>
              <w:widowControl/>
              <w:jc w:val="left"/>
              <w:rPr>
                <w:rFonts w:ascii="宋体" w:hAnsi="宋体" w:cs="宋体"/>
                <w:kern w:val="0"/>
                <w:sz w:val="20"/>
                <w:szCs w:val="20"/>
              </w:rPr>
            </w:pPr>
          </w:p>
        </w:tc>
        <w:tc>
          <w:tcPr>
            <w:tcW w:w="853" w:type="dxa"/>
            <w:vMerge w:val="continue"/>
            <w:shd w:val="clear" w:color="auto" w:fill="auto"/>
            <w:vAlign w:val="center"/>
          </w:tcPr>
          <w:p>
            <w:pPr>
              <w:widowControl/>
              <w:jc w:val="left"/>
              <w:rPr>
                <w:rFonts w:ascii="宋体" w:hAnsi="宋体" w:cs="宋体"/>
                <w:kern w:val="0"/>
                <w:sz w:val="20"/>
                <w:szCs w:val="20"/>
              </w:rPr>
            </w:pPr>
          </w:p>
        </w:tc>
        <w:tc>
          <w:tcPr>
            <w:tcW w:w="161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无保证收益</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492" w:type="dxa"/>
            <w:vMerge w:val="restart"/>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2.人寿保险业务</w:t>
            </w:r>
          </w:p>
        </w:tc>
        <w:tc>
          <w:tcPr>
            <w:tcW w:w="2470"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保证收益</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492" w:type="dxa"/>
            <w:vMerge w:val="continue"/>
            <w:shd w:val="clear" w:color="auto" w:fill="auto"/>
            <w:vAlign w:val="center"/>
          </w:tcPr>
          <w:p>
            <w:pPr>
              <w:widowControl/>
              <w:jc w:val="left"/>
              <w:rPr>
                <w:rFonts w:ascii="宋体" w:hAnsi="宋体" w:cs="宋体"/>
                <w:kern w:val="0"/>
                <w:sz w:val="20"/>
                <w:szCs w:val="20"/>
              </w:rPr>
            </w:pPr>
          </w:p>
        </w:tc>
        <w:tc>
          <w:tcPr>
            <w:tcW w:w="2470"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无保证收益</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492" w:type="dxa"/>
            <w:vMerge w:val="restart"/>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3.健康保险业务</w:t>
            </w:r>
          </w:p>
        </w:tc>
        <w:tc>
          <w:tcPr>
            <w:tcW w:w="2470"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短期</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492" w:type="dxa"/>
            <w:vMerge w:val="continue"/>
            <w:shd w:val="clear" w:color="auto" w:fill="auto"/>
            <w:vAlign w:val="center"/>
          </w:tcPr>
          <w:p>
            <w:pPr>
              <w:widowControl/>
              <w:jc w:val="left"/>
              <w:rPr>
                <w:rFonts w:ascii="宋体" w:hAnsi="宋体" w:cs="宋体"/>
                <w:kern w:val="0"/>
                <w:sz w:val="20"/>
                <w:szCs w:val="20"/>
              </w:rPr>
            </w:pPr>
          </w:p>
        </w:tc>
        <w:tc>
          <w:tcPr>
            <w:tcW w:w="2470"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长期</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492" w:type="dxa"/>
            <w:vMerge w:val="restart"/>
            <w:shd w:val="clear" w:color="auto" w:fill="auto"/>
            <w:vAlign w:val="center"/>
          </w:tcPr>
          <w:p>
            <w:pPr>
              <w:widowControl/>
              <w:ind w:left="420" w:leftChars="200" w:firstLine="400" w:firstLineChars="200"/>
              <w:jc w:val="left"/>
              <w:rPr>
                <w:rFonts w:ascii="宋体" w:hAnsi="宋体" w:cs="宋体"/>
                <w:kern w:val="0"/>
                <w:sz w:val="20"/>
                <w:szCs w:val="20"/>
              </w:rPr>
            </w:pPr>
            <w:r>
              <w:rPr>
                <w:rFonts w:hint="eastAsia" w:ascii="宋体" w:hAnsi="宋体" w:cs="宋体"/>
                <w:kern w:val="0"/>
                <w:sz w:val="20"/>
                <w:szCs w:val="20"/>
              </w:rPr>
              <w:t>4.意外伤害保险业务</w:t>
            </w:r>
          </w:p>
        </w:tc>
        <w:tc>
          <w:tcPr>
            <w:tcW w:w="2470"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非投资型</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2492" w:type="dxa"/>
            <w:vMerge w:val="continue"/>
            <w:shd w:val="clear" w:color="auto" w:fill="auto"/>
            <w:vAlign w:val="center"/>
          </w:tcPr>
          <w:p>
            <w:pPr>
              <w:widowControl/>
              <w:jc w:val="left"/>
              <w:rPr>
                <w:rFonts w:ascii="宋体" w:hAnsi="宋体" w:cs="宋体"/>
                <w:kern w:val="0"/>
                <w:sz w:val="20"/>
                <w:szCs w:val="20"/>
              </w:rPr>
            </w:pPr>
          </w:p>
        </w:tc>
        <w:tc>
          <w:tcPr>
            <w:tcW w:w="853" w:type="dxa"/>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投资型</w:t>
            </w:r>
          </w:p>
        </w:tc>
        <w:tc>
          <w:tcPr>
            <w:tcW w:w="161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保证收益</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2492" w:type="dxa"/>
            <w:vMerge w:val="continue"/>
            <w:shd w:val="clear" w:color="auto" w:fill="auto"/>
            <w:vAlign w:val="center"/>
          </w:tcPr>
          <w:p>
            <w:pPr>
              <w:widowControl/>
              <w:jc w:val="left"/>
              <w:rPr>
                <w:rFonts w:ascii="宋体" w:hAnsi="宋体" w:cs="宋体"/>
                <w:kern w:val="0"/>
                <w:sz w:val="20"/>
                <w:szCs w:val="20"/>
              </w:rPr>
            </w:pPr>
          </w:p>
        </w:tc>
        <w:tc>
          <w:tcPr>
            <w:tcW w:w="853" w:type="dxa"/>
            <w:vMerge w:val="continue"/>
            <w:shd w:val="clear" w:color="auto" w:fill="auto"/>
            <w:vAlign w:val="center"/>
          </w:tcPr>
          <w:p>
            <w:pPr>
              <w:widowControl/>
              <w:jc w:val="left"/>
              <w:rPr>
                <w:rFonts w:ascii="宋体" w:hAnsi="宋体" w:cs="宋体"/>
                <w:kern w:val="0"/>
                <w:sz w:val="20"/>
                <w:szCs w:val="20"/>
              </w:rPr>
            </w:pPr>
          </w:p>
        </w:tc>
        <w:tc>
          <w:tcPr>
            <w:tcW w:w="161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无保证收益</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（二）未到期责任准备金</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（三）寿险责任准备金</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（四）长期健康险责任准备金</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（五）未决赔款准备金（17+18）</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4962" w:type="dxa"/>
            <w:gridSpan w:val="3"/>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1.已发生已报案未决赔款准备金</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4962" w:type="dxa"/>
            <w:gridSpan w:val="3"/>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2.已发生未报案未决赔款准备金</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（六）大灾风险准备金</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（七）其他</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4962" w:type="dxa"/>
            <w:gridSpan w:val="3"/>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二、证券行业（22+23+24+25）</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（一）证券交易所风险基金</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（二）证券结算风险基金</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（三）证券投资者保护基金</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（四）其他</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4962" w:type="dxa"/>
            <w:gridSpan w:val="3"/>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三、期货行业（27+28+29+30）</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（一）期货交易所风险准备金</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（二）期货公司风险准备金</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（三）期货投资者保障基金</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（四）其他</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4962" w:type="dxa"/>
            <w:gridSpan w:val="3"/>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四、金融企业（32+33+34)</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（一）涉农和中小企业贷款损失准备金</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（二）贷款损失准备金</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（三）其他</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4962" w:type="dxa"/>
            <w:gridSpan w:val="3"/>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五、中小企业融资（信用）担保机构(36+37+38)</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1440" w:type="dxa"/>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（一）担保赔偿准备</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1440" w:type="dxa"/>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（二）未到期责任准备</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1440" w:type="dxa"/>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（三）其他</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1440" w:type="dxa"/>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4962" w:type="dxa"/>
            <w:gridSpan w:val="3"/>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六、小额贷款公司(40+41)</w:t>
            </w:r>
          </w:p>
        </w:tc>
        <w:tc>
          <w:tcPr>
            <w:tcW w:w="1180" w:type="dxa"/>
            <w:shd w:val="clear" w:color="auto" w:fill="auto"/>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180" w:type="dxa"/>
            <w:shd w:val="clear" w:color="auto" w:fill="auto"/>
            <w:vAlign w:val="center"/>
          </w:tcPr>
          <w:p>
            <w:pPr>
              <w:widowControl/>
              <w:jc w:val="right"/>
              <w:rPr>
                <w:rFonts w:ascii="宋体" w:hAnsi="宋体" w:cs="宋体"/>
                <w:color w:val="FF0000"/>
                <w:kern w:val="0"/>
                <w:sz w:val="24"/>
              </w:rPr>
            </w:pPr>
            <w:r>
              <w:rPr>
                <w:rFonts w:hint="eastAsia" w:ascii="宋体" w:hAnsi="宋体" w:cs="宋体"/>
                <w:color w:val="FF0000"/>
                <w:kern w:val="0"/>
                <w:sz w:val="24"/>
              </w:rPr>
              <w:t>　</w:t>
            </w:r>
          </w:p>
        </w:tc>
        <w:tc>
          <w:tcPr>
            <w:tcW w:w="1440" w:type="dxa"/>
            <w:shd w:val="clear" w:color="auto" w:fill="auto"/>
            <w:vAlign w:val="center"/>
          </w:tcPr>
          <w:p>
            <w:pPr>
              <w:widowControl/>
              <w:jc w:val="right"/>
              <w:rPr>
                <w:rFonts w:ascii="宋体" w:hAnsi="宋体" w:cs="宋体"/>
                <w:color w:val="FF0000"/>
                <w:kern w:val="0"/>
                <w:sz w:val="24"/>
              </w:rPr>
            </w:pPr>
            <w:r>
              <w:rPr>
                <w:rFonts w:hint="eastAsia" w:ascii="宋体" w:hAnsi="宋体" w:cs="宋体"/>
                <w:color w:val="FF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（一）贷款损失准备金</w:t>
            </w:r>
          </w:p>
        </w:tc>
        <w:tc>
          <w:tcPr>
            <w:tcW w:w="1180" w:type="dxa"/>
            <w:shd w:val="clear" w:color="auto" w:fill="auto"/>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180" w:type="dxa"/>
            <w:shd w:val="clear" w:color="auto" w:fill="auto"/>
            <w:vAlign w:val="center"/>
          </w:tcPr>
          <w:p>
            <w:pPr>
              <w:widowControl/>
              <w:jc w:val="right"/>
              <w:rPr>
                <w:rFonts w:ascii="宋体" w:hAnsi="宋体" w:cs="宋体"/>
                <w:color w:val="FF0000"/>
                <w:kern w:val="0"/>
                <w:sz w:val="24"/>
              </w:rPr>
            </w:pPr>
            <w:r>
              <w:rPr>
                <w:rFonts w:hint="eastAsia" w:ascii="宋体" w:hAnsi="宋体" w:cs="宋体"/>
                <w:color w:val="FF0000"/>
                <w:kern w:val="0"/>
                <w:sz w:val="24"/>
              </w:rPr>
              <w:t>　</w:t>
            </w:r>
          </w:p>
        </w:tc>
        <w:tc>
          <w:tcPr>
            <w:tcW w:w="1440" w:type="dxa"/>
            <w:shd w:val="clear" w:color="auto" w:fill="auto"/>
            <w:vAlign w:val="center"/>
          </w:tcPr>
          <w:p>
            <w:pPr>
              <w:widowControl/>
              <w:jc w:val="right"/>
              <w:rPr>
                <w:rFonts w:ascii="宋体" w:hAnsi="宋体" w:cs="宋体"/>
                <w:color w:val="FF0000"/>
                <w:kern w:val="0"/>
                <w:sz w:val="24"/>
              </w:rPr>
            </w:pPr>
            <w:r>
              <w:rPr>
                <w:rFonts w:hint="eastAsia" w:ascii="宋体" w:hAnsi="宋体" w:cs="宋体"/>
                <w:color w:val="FF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4962" w:type="dxa"/>
            <w:gridSpan w:val="3"/>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（二）其他</w:t>
            </w:r>
          </w:p>
        </w:tc>
        <w:tc>
          <w:tcPr>
            <w:tcW w:w="1180" w:type="dxa"/>
            <w:shd w:val="clear" w:color="auto" w:fill="auto"/>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180" w:type="dxa"/>
            <w:shd w:val="clear" w:color="auto" w:fill="auto"/>
            <w:vAlign w:val="center"/>
          </w:tcPr>
          <w:p>
            <w:pPr>
              <w:widowControl/>
              <w:jc w:val="right"/>
              <w:rPr>
                <w:rFonts w:ascii="宋体" w:hAnsi="宋体" w:cs="宋体"/>
                <w:color w:val="FF0000"/>
                <w:kern w:val="0"/>
                <w:sz w:val="24"/>
              </w:rPr>
            </w:pPr>
            <w:r>
              <w:rPr>
                <w:rFonts w:hint="eastAsia" w:ascii="宋体" w:hAnsi="宋体" w:cs="宋体"/>
                <w:color w:val="FF0000"/>
                <w:kern w:val="0"/>
                <w:sz w:val="24"/>
              </w:rPr>
              <w:t>　</w:t>
            </w:r>
          </w:p>
        </w:tc>
        <w:tc>
          <w:tcPr>
            <w:tcW w:w="1440" w:type="dxa"/>
            <w:shd w:val="clear" w:color="auto" w:fill="auto"/>
            <w:vAlign w:val="center"/>
          </w:tcPr>
          <w:p>
            <w:pPr>
              <w:widowControl/>
              <w:jc w:val="right"/>
              <w:rPr>
                <w:rFonts w:ascii="宋体" w:hAnsi="宋体" w:cs="宋体"/>
                <w:color w:val="FF0000"/>
                <w:kern w:val="0"/>
                <w:sz w:val="24"/>
              </w:rPr>
            </w:pPr>
            <w:r>
              <w:rPr>
                <w:rFonts w:hint="eastAsia" w:ascii="宋体" w:hAnsi="宋体" w:cs="宋体"/>
                <w:color w:val="FF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4962" w:type="dxa"/>
            <w:gridSpan w:val="3"/>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七、其他</w:t>
            </w:r>
          </w:p>
        </w:tc>
        <w:tc>
          <w:tcPr>
            <w:tcW w:w="1180" w:type="dxa"/>
            <w:shd w:val="clear" w:color="auto" w:fill="auto"/>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180" w:type="dxa"/>
            <w:shd w:val="clear" w:color="auto" w:fill="auto"/>
            <w:vAlign w:val="center"/>
          </w:tcPr>
          <w:p>
            <w:pPr>
              <w:widowControl/>
              <w:jc w:val="right"/>
              <w:rPr>
                <w:rFonts w:ascii="宋体" w:hAnsi="宋体" w:cs="宋体"/>
                <w:color w:val="FF0000"/>
                <w:kern w:val="0"/>
                <w:sz w:val="24"/>
              </w:rPr>
            </w:pPr>
            <w:r>
              <w:rPr>
                <w:rFonts w:hint="eastAsia" w:ascii="宋体" w:hAnsi="宋体" w:cs="宋体"/>
                <w:color w:val="FF0000"/>
                <w:kern w:val="0"/>
                <w:sz w:val="24"/>
              </w:rPr>
              <w:t>　</w:t>
            </w:r>
          </w:p>
        </w:tc>
        <w:tc>
          <w:tcPr>
            <w:tcW w:w="1440" w:type="dxa"/>
            <w:shd w:val="clear" w:color="auto" w:fill="auto"/>
            <w:vAlign w:val="center"/>
          </w:tcPr>
          <w:p>
            <w:pPr>
              <w:widowControl/>
              <w:jc w:val="right"/>
              <w:rPr>
                <w:rFonts w:ascii="宋体" w:hAnsi="宋体" w:cs="宋体"/>
                <w:color w:val="FF0000"/>
                <w:kern w:val="0"/>
                <w:sz w:val="24"/>
              </w:rPr>
            </w:pPr>
            <w:r>
              <w:rPr>
                <w:rFonts w:hint="eastAsia" w:ascii="宋体" w:hAnsi="宋体" w:cs="宋体"/>
                <w:color w:val="FF0000"/>
                <w:kern w:val="0"/>
                <w:sz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4962" w:type="dxa"/>
            <w:gridSpan w:val="3"/>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合计(1+21+26+31+35+39+42)</w:t>
            </w:r>
          </w:p>
        </w:tc>
        <w:tc>
          <w:tcPr>
            <w:tcW w:w="1180" w:type="dxa"/>
            <w:shd w:val="clear" w:color="auto" w:fill="auto"/>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180" w:type="dxa"/>
            <w:shd w:val="clear" w:color="auto" w:fill="auto"/>
            <w:vAlign w:val="center"/>
          </w:tcPr>
          <w:p>
            <w:pPr>
              <w:widowControl/>
              <w:jc w:val="right"/>
              <w:rPr>
                <w:rFonts w:ascii="宋体" w:hAnsi="宋体" w:cs="宋体"/>
                <w:color w:val="FF0000"/>
                <w:kern w:val="0"/>
                <w:sz w:val="24"/>
              </w:rPr>
            </w:pPr>
            <w:r>
              <w:rPr>
                <w:rFonts w:hint="eastAsia" w:ascii="宋体" w:hAnsi="宋体" w:cs="宋体"/>
                <w:color w:val="FF0000"/>
                <w:kern w:val="0"/>
                <w:sz w:val="24"/>
              </w:rPr>
              <w:t>　</w:t>
            </w:r>
          </w:p>
        </w:tc>
        <w:tc>
          <w:tcPr>
            <w:tcW w:w="1440" w:type="dxa"/>
            <w:shd w:val="clear" w:color="auto" w:fill="auto"/>
            <w:vAlign w:val="center"/>
          </w:tcPr>
          <w:p>
            <w:pPr>
              <w:widowControl/>
              <w:jc w:val="right"/>
              <w:rPr>
                <w:rFonts w:ascii="宋体" w:hAnsi="宋体" w:cs="宋体"/>
                <w:color w:val="FF0000"/>
                <w:kern w:val="0"/>
                <w:sz w:val="24"/>
              </w:rPr>
            </w:pPr>
            <w:r>
              <w:rPr>
                <w:rFonts w:hint="eastAsia" w:ascii="宋体" w:hAnsi="宋体" w:cs="宋体"/>
                <w:color w:val="FF0000"/>
                <w:kern w:val="0"/>
                <w:sz w:val="24"/>
              </w:rPr>
              <w:t>　</w:t>
            </w:r>
          </w:p>
        </w:tc>
      </w:tr>
    </w:tbl>
    <w:p>
      <w:pPr>
        <w:pStyle w:val="9"/>
      </w:pPr>
    </w:p>
    <w:p>
      <w:pPr>
        <w:pStyle w:val="9"/>
        <w:sectPr>
          <w:pgSz w:w="11906" w:h="16838"/>
          <w:pgMar w:top="1418" w:right="1985" w:bottom="1418" w:left="1928" w:header="851" w:footer="992" w:gutter="113"/>
          <w:cols w:space="425" w:num="1"/>
          <w:titlePg/>
          <w:docGrid w:linePitch="312" w:charSpace="0"/>
        </w:sectPr>
      </w:pPr>
    </w:p>
    <w:p>
      <w:pPr>
        <w:pStyle w:val="8"/>
        <w:spacing w:before="240" w:after="360"/>
        <w:rPr>
          <w:color w:val="000000"/>
        </w:rPr>
      </w:pPr>
      <w:bookmarkStart w:id="69" w:name="_Toc499456594"/>
      <w:r>
        <w:rPr>
          <w:rFonts w:hint="eastAsia"/>
          <w:color w:val="000000"/>
        </w:rPr>
        <w:t>A105120</w:t>
      </w:r>
      <w:r>
        <w:rPr>
          <w:color w:val="000000"/>
        </w:rPr>
        <w:tab/>
      </w:r>
      <w:r>
        <w:rPr>
          <w:rFonts w:hint="eastAsia"/>
          <w:color w:val="000000"/>
        </w:rPr>
        <w:t>《特</w:t>
      </w:r>
      <w:r>
        <w:rPr>
          <w:rFonts w:hint="eastAsia"/>
        </w:rPr>
        <w:t>殊行业准备金及纳税调整</w:t>
      </w:r>
      <w:r>
        <w:rPr>
          <w:rFonts w:hint="eastAsia"/>
          <w:color w:val="000000"/>
        </w:rPr>
        <w:t>明细表》填报说明</w:t>
      </w:r>
      <w:bookmarkEnd w:id="69"/>
    </w:p>
    <w:p>
      <w:pPr>
        <w:pStyle w:val="9"/>
        <w:rPr>
          <w:color w:val="000000"/>
        </w:rPr>
      </w:pPr>
      <w:r>
        <w:rPr>
          <w:rFonts w:hint="eastAsia"/>
          <w:color w:val="000000"/>
        </w:rPr>
        <w:t>本表适用于发生特殊行业准备金的纳税人填报。纳税人根据税法相关规定，以及国家统一企业会计制度，填报特殊行业准备金会计处理、税收规定及纳税调整情况。只要会计上发生准备金，不论是否纳税调整，均需填报。</w:t>
      </w:r>
    </w:p>
    <w:p>
      <w:pPr>
        <w:pStyle w:val="11"/>
        <w:ind w:firstLine="482"/>
      </w:pPr>
      <w:r>
        <w:rPr>
          <w:rFonts w:hint="eastAsia"/>
        </w:rPr>
        <w:t>一、有关项目填报说明</w:t>
      </w:r>
    </w:p>
    <w:p>
      <w:pPr>
        <w:pStyle w:val="9"/>
        <w:rPr>
          <w:color w:val="000000"/>
        </w:rPr>
      </w:pPr>
      <w:r>
        <w:rPr>
          <w:rFonts w:hint="eastAsia"/>
          <w:color w:val="000000"/>
        </w:rPr>
        <w:t>1.第1行“一、保险公司”：填报第2+13+14+15+16+19+20行的合计金额。</w:t>
      </w:r>
    </w:p>
    <w:p>
      <w:pPr>
        <w:pStyle w:val="9"/>
        <w:rPr>
          <w:color w:val="000000"/>
        </w:rPr>
      </w:pPr>
      <w:r>
        <w:rPr>
          <w:rFonts w:hint="eastAsia"/>
          <w:color w:val="000000"/>
        </w:rPr>
        <w:t>2.第2行“（一）保险保障基金”：填报第3+4+5+6+7+8+9+10+11+12行的合计金额。</w:t>
      </w:r>
    </w:p>
    <w:p>
      <w:pPr>
        <w:pStyle w:val="9"/>
        <w:rPr>
          <w:color w:val="000000"/>
        </w:rPr>
      </w:pPr>
      <w:r>
        <w:rPr>
          <w:rFonts w:hint="eastAsia"/>
          <w:color w:val="000000"/>
        </w:rPr>
        <w:t>3.第3行“1.财产保险业务—非投资型”：填报保险公司非投资型财产保险业务的保险保障基金相关情况。第1列“账载金额”填报按会计核算计入当期损益的金额；第2列“税收金额”填报按税收规定允许税前扣除的金额；第3列为第1-2列的余额。</w:t>
      </w:r>
    </w:p>
    <w:p>
      <w:pPr>
        <w:pStyle w:val="9"/>
        <w:rPr>
          <w:color w:val="000000"/>
        </w:rPr>
      </w:pPr>
      <w:r>
        <w:rPr>
          <w:rFonts w:hint="eastAsia"/>
          <w:color w:val="000000"/>
        </w:rPr>
        <w:t>4.第4行“1.财产保险业务—投资型—保证收益”：填报有保证收益的投资型财产保险业务的保险保障基金的纳税调整情况。填列方法同第3行。</w:t>
      </w:r>
    </w:p>
    <w:p>
      <w:pPr>
        <w:pStyle w:val="9"/>
        <w:rPr>
          <w:color w:val="000000"/>
        </w:rPr>
      </w:pPr>
      <w:r>
        <w:rPr>
          <w:rFonts w:hint="eastAsia"/>
          <w:color w:val="000000"/>
        </w:rPr>
        <w:t>5.第5行“1.财产保险业务—投资型—无保证收益”：填报无保证收益的投资型财产保险业务的保险保障基金的纳税调整情况。填列方法同第3行。</w:t>
      </w:r>
    </w:p>
    <w:p>
      <w:pPr>
        <w:pStyle w:val="9"/>
        <w:rPr>
          <w:color w:val="000000"/>
        </w:rPr>
      </w:pPr>
      <w:r>
        <w:rPr>
          <w:rFonts w:hint="eastAsia"/>
          <w:color w:val="000000"/>
        </w:rPr>
        <w:t>6.第6行“2.人寿保险业务—保证收益”：填报有保证收益的人寿保险业务的保险保障基金的纳税调整情况。填列方法同第3行。</w:t>
      </w:r>
    </w:p>
    <w:p>
      <w:pPr>
        <w:pStyle w:val="9"/>
        <w:rPr>
          <w:color w:val="000000"/>
        </w:rPr>
      </w:pPr>
      <w:r>
        <w:rPr>
          <w:rFonts w:hint="eastAsia"/>
          <w:color w:val="000000"/>
        </w:rPr>
        <w:t>7.第7行“2.人寿保险业务—无保证收益”：填报无保证收益的人寿保险业务的保险保障基金的纳税调整情况。填列方法同第3行。</w:t>
      </w:r>
    </w:p>
    <w:p>
      <w:pPr>
        <w:pStyle w:val="9"/>
        <w:rPr>
          <w:color w:val="000000"/>
        </w:rPr>
      </w:pPr>
      <w:r>
        <w:rPr>
          <w:rFonts w:hint="eastAsia"/>
          <w:color w:val="000000"/>
        </w:rPr>
        <w:t>8.第8行“3.健康保险业务—短期”：填报短期健康保险业务的保险保障基金的纳税调整情况。填列方法同第3行。</w:t>
      </w:r>
    </w:p>
    <w:p>
      <w:pPr>
        <w:pStyle w:val="9"/>
        <w:rPr>
          <w:color w:val="000000"/>
        </w:rPr>
      </w:pPr>
      <w:r>
        <w:rPr>
          <w:rFonts w:hint="eastAsia"/>
          <w:color w:val="000000"/>
        </w:rPr>
        <w:t>9.第9行“3.健康保险业务—长期”：填报长期健康保险业务的保险保障基金的纳税调整情况。填列方法同第3行。</w:t>
      </w:r>
    </w:p>
    <w:p>
      <w:pPr>
        <w:pStyle w:val="9"/>
        <w:rPr>
          <w:color w:val="000000"/>
        </w:rPr>
      </w:pPr>
      <w:r>
        <w:rPr>
          <w:rFonts w:hint="eastAsia"/>
          <w:color w:val="000000"/>
        </w:rPr>
        <w:t>10.第10行“4.意外伤害保险业务—非投资型”：填报非投资型意外伤害保险业务的保险保障基金的纳税调整情况。填列方法同第3行。</w:t>
      </w:r>
    </w:p>
    <w:p>
      <w:pPr>
        <w:pStyle w:val="9"/>
        <w:rPr>
          <w:color w:val="000000"/>
        </w:rPr>
      </w:pPr>
      <w:r>
        <w:rPr>
          <w:rFonts w:hint="eastAsia"/>
          <w:color w:val="000000"/>
        </w:rPr>
        <w:t>11.第11行“4.意外伤害保险业务—投资型—保证收益”：填报有保证收益的投资型意外伤害保险业务的保险保障基金的纳税调整情况。填列方法同第3行。</w:t>
      </w:r>
    </w:p>
    <w:p>
      <w:pPr>
        <w:pStyle w:val="9"/>
        <w:rPr>
          <w:color w:val="000000"/>
        </w:rPr>
      </w:pPr>
      <w:r>
        <w:rPr>
          <w:rFonts w:hint="eastAsia"/>
          <w:color w:val="000000"/>
        </w:rPr>
        <w:t>12.第12行“4.意外伤害保险业务—投资型—无保证收益”：填报无保证收益的投资型意外伤害保险业务的保险保障基金的纳税调整情况。填列方法同第3行。</w:t>
      </w:r>
    </w:p>
    <w:p>
      <w:pPr>
        <w:pStyle w:val="9"/>
        <w:rPr>
          <w:color w:val="000000"/>
        </w:rPr>
      </w:pPr>
      <w:r>
        <w:rPr>
          <w:rFonts w:hint="eastAsia"/>
          <w:color w:val="000000"/>
        </w:rPr>
        <w:t>13.第13行“（二）未到期责任准备金”：填报未到期责任准备金的纳税调整情况。填列方法同第3行。</w:t>
      </w:r>
    </w:p>
    <w:p>
      <w:pPr>
        <w:pStyle w:val="9"/>
        <w:rPr>
          <w:color w:val="000000"/>
        </w:rPr>
      </w:pPr>
      <w:r>
        <w:rPr>
          <w:rFonts w:hint="eastAsia"/>
          <w:color w:val="000000"/>
        </w:rPr>
        <w:t>14.第14行“（三）寿险责任准备金”：填报寿险责任准备金的纳税调整情况。填列方法同第3行。</w:t>
      </w:r>
    </w:p>
    <w:p>
      <w:pPr>
        <w:pStyle w:val="9"/>
        <w:rPr>
          <w:color w:val="000000"/>
        </w:rPr>
      </w:pPr>
      <w:r>
        <w:rPr>
          <w:rFonts w:hint="eastAsia"/>
          <w:color w:val="000000"/>
        </w:rPr>
        <w:t>15.第15行“（四）长期健康险责任准备金”：填报长期健康险责任准备金的纳税调整情况。填列方法同第3行。</w:t>
      </w:r>
    </w:p>
    <w:p>
      <w:pPr>
        <w:pStyle w:val="9"/>
        <w:rPr>
          <w:color w:val="000000"/>
        </w:rPr>
      </w:pPr>
      <w:r>
        <w:rPr>
          <w:rFonts w:hint="eastAsia"/>
          <w:color w:val="000000"/>
        </w:rPr>
        <w:t>16.第16行“（五）未决赔款准备金”：填报第17+18行的合计金额。本表调整的未决赔款准备金为已发生已报案未决赔款准备金、已发生未报案未决赔款准备金，不包括理赔费用准备金。</w:t>
      </w:r>
    </w:p>
    <w:p>
      <w:pPr>
        <w:pStyle w:val="9"/>
        <w:rPr>
          <w:color w:val="000000"/>
        </w:rPr>
      </w:pPr>
      <w:r>
        <w:rPr>
          <w:rFonts w:hint="eastAsia"/>
          <w:color w:val="000000"/>
        </w:rPr>
        <w:t>17.第17行“1.已发生已报案未决赔款准备金”：填报未决赔款准备金中已发生已报案准备金的纳税调整情况。填列方法同第3行。</w:t>
      </w:r>
    </w:p>
    <w:p>
      <w:pPr>
        <w:pStyle w:val="9"/>
        <w:rPr>
          <w:color w:val="000000"/>
        </w:rPr>
      </w:pPr>
      <w:r>
        <w:rPr>
          <w:rFonts w:hint="eastAsia"/>
          <w:color w:val="000000"/>
        </w:rPr>
        <w:t>18.第18行“2.已发生未报案未决赔款准备金”：填报未决赔款准备金中已发生未报案准备金的纳税调整情况。填列方法同第3行。</w:t>
      </w:r>
    </w:p>
    <w:p>
      <w:pPr>
        <w:pStyle w:val="9"/>
        <w:rPr>
          <w:color w:val="000000"/>
        </w:rPr>
      </w:pPr>
      <w:r>
        <w:rPr>
          <w:rFonts w:hint="eastAsia"/>
          <w:color w:val="000000"/>
        </w:rPr>
        <w:t>19.第19行“（六）大灾风险准备金”：填报大灾风险准备金的纳税调整情况。填列方法同第3行。</w:t>
      </w:r>
    </w:p>
    <w:p>
      <w:pPr>
        <w:pStyle w:val="9"/>
        <w:rPr>
          <w:color w:val="000000"/>
        </w:rPr>
      </w:pPr>
      <w:r>
        <w:rPr>
          <w:rFonts w:hint="eastAsia"/>
          <w:color w:val="000000"/>
        </w:rPr>
        <w:t>20.第20行“（七）其他”：填报除第2行至第19行以外的允许税前扣除的保险公司准备金的纳税调整情况。填列方法同第3行。</w:t>
      </w:r>
    </w:p>
    <w:p>
      <w:pPr>
        <w:pStyle w:val="9"/>
        <w:rPr>
          <w:color w:val="000000"/>
        </w:rPr>
      </w:pPr>
      <w:r>
        <w:rPr>
          <w:rFonts w:hint="eastAsia"/>
          <w:color w:val="000000"/>
        </w:rPr>
        <w:t>21.第21行“二、证券行业”：填报第22+23+24+25行的合计金额。</w:t>
      </w:r>
    </w:p>
    <w:p>
      <w:pPr>
        <w:pStyle w:val="9"/>
        <w:rPr>
          <w:color w:val="000000"/>
        </w:rPr>
      </w:pPr>
      <w:r>
        <w:rPr>
          <w:rFonts w:hint="eastAsia"/>
          <w:color w:val="000000"/>
        </w:rPr>
        <w:t>22.第22行“（一）证券交易所风险基金”：填报证券交易所风险基金的纳税调整情况。填列方法同第3行。</w:t>
      </w:r>
    </w:p>
    <w:p>
      <w:pPr>
        <w:pStyle w:val="9"/>
        <w:rPr>
          <w:color w:val="000000"/>
        </w:rPr>
      </w:pPr>
      <w:r>
        <w:rPr>
          <w:rFonts w:hint="eastAsia"/>
          <w:color w:val="000000"/>
        </w:rPr>
        <w:t>23.第23行“（二）证券结算风险基金”：填报证券结算风险基金的纳税调整情况。填列方法同第3行。</w:t>
      </w:r>
    </w:p>
    <w:p>
      <w:pPr>
        <w:pStyle w:val="9"/>
        <w:rPr>
          <w:color w:val="000000"/>
        </w:rPr>
      </w:pPr>
      <w:r>
        <w:rPr>
          <w:rFonts w:hint="eastAsia"/>
          <w:color w:val="000000"/>
        </w:rPr>
        <w:t>24.第24行“（三）证券投资者保护基金”：填报证券投资者保护基金的纳税调整情况。填列方法同第3行。</w:t>
      </w:r>
    </w:p>
    <w:p>
      <w:pPr>
        <w:pStyle w:val="9"/>
        <w:rPr>
          <w:color w:val="000000"/>
        </w:rPr>
      </w:pPr>
      <w:r>
        <w:rPr>
          <w:rFonts w:hint="eastAsia"/>
          <w:color w:val="000000"/>
        </w:rPr>
        <w:t>25.第25行“（四）其他”：填报除第22行至第24行以外的允许税前扣除的证券行业准备金的纳税调整情况。填列方法同第3行。</w:t>
      </w:r>
    </w:p>
    <w:p>
      <w:pPr>
        <w:pStyle w:val="9"/>
        <w:rPr>
          <w:color w:val="000000"/>
        </w:rPr>
      </w:pPr>
      <w:r>
        <w:rPr>
          <w:rFonts w:hint="eastAsia"/>
          <w:color w:val="000000"/>
        </w:rPr>
        <w:t>26.第26行“三、期货行业”：填报第27+28+29+30行的合计金额。</w:t>
      </w:r>
    </w:p>
    <w:p>
      <w:pPr>
        <w:pStyle w:val="9"/>
        <w:rPr>
          <w:color w:val="000000"/>
        </w:rPr>
      </w:pPr>
      <w:r>
        <w:rPr>
          <w:rFonts w:hint="eastAsia"/>
          <w:color w:val="000000"/>
        </w:rPr>
        <w:t>27.第27行“（一）期货交易所风险准备金”：填报期货交易所风险准备金的纳税调整情况。填列方法同第3行。</w:t>
      </w:r>
    </w:p>
    <w:p>
      <w:pPr>
        <w:pStyle w:val="9"/>
        <w:rPr>
          <w:color w:val="000000"/>
        </w:rPr>
      </w:pPr>
      <w:r>
        <w:rPr>
          <w:rFonts w:hint="eastAsia"/>
          <w:color w:val="000000"/>
        </w:rPr>
        <w:t>28.第28行“（二）期货公司风险准备金”：填报期货公司风险准备金的纳税调整情况。填列方法同第3行。</w:t>
      </w:r>
    </w:p>
    <w:p>
      <w:pPr>
        <w:pStyle w:val="9"/>
        <w:rPr>
          <w:color w:val="000000"/>
        </w:rPr>
      </w:pPr>
      <w:r>
        <w:rPr>
          <w:rFonts w:hint="eastAsia"/>
          <w:color w:val="000000"/>
        </w:rPr>
        <w:t>29.第29行“（三）期货投资者保障基金”：填报期货投资者保障基金的纳税调整情况。填列方法同第3行。</w:t>
      </w:r>
    </w:p>
    <w:p>
      <w:pPr>
        <w:pStyle w:val="9"/>
        <w:rPr>
          <w:color w:val="000000"/>
        </w:rPr>
      </w:pPr>
      <w:r>
        <w:rPr>
          <w:rFonts w:hint="eastAsia"/>
          <w:color w:val="000000"/>
        </w:rPr>
        <w:t>30.第30行“（四）其他”：填报除第27行至第29行以外的允许税前扣除的期货行业准备金的纳税调整情况。填列方法同第3行。</w:t>
      </w:r>
    </w:p>
    <w:p>
      <w:pPr>
        <w:pStyle w:val="9"/>
        <w:rPr>
          <w:color w:val="000000"/>
        </w:rPr>
      </w:pPr>
      <w:r>
        <w:rPr>
          <w:rFonts w:hint="eastAsia"/>
          <w:color w:val="000000"/>
        </w:rPr>
        <w:t>31.第31行“四、金融企业”：填报第32+33+34行的合计金额。</w:t>
      </w:r>
    </w:p>
    <w:p>
      <w:pPr>
        <w:pStyle w:val="9"/>
        <w:rPr>
          <w:color w:val="000000"/>
        </w:rPr>
      </w:pPr>
      <w:r>
        <w:rPr>
          <w:rFonts w:hint="eastAsia"/>
          <w:color w:val="000000"/>
        </w:rPr>
        <w:t>32.第32行“（一）涉农和中小企业贷款损失准备金”：填报涉农和中小企业贷款损失准备金的纳税调整情况。填列方法同第3行。</w:t>
      </w:r>
    </w:p>
    <w:p>
      <w:pPr>
        <w:pStyle w:val="9"/>
        <w:rPr>
          <w:color w:val="000000"/>
        </w:rPr>
      </w:pPr>
      <w:r>
        <w:rPr>
          <w:rFonts w:hint="eastAsia"/>
          <w:color w:val="000000"/>
        </w:rPr>
        <w:t>33.第33行“（二）贷款损失准备金”：填报贷款损失准备金的纳税调整情况。填列方法同第3行。</w:t>
      </w:r>
    </w:p>
    <w:p>
      <w:pPr>
        <w:pStyle w:val="9"/>
        <w:rPr>
          <w:rFonts w:hint="eastAsia"/>
          <w:color w:val="000000"/>
        </w:rPr>
      </w:pPr>
      <w:r>
        <w:rPr>
          <w:rFonts w:hint="eastAsia"/>
          <w:color w:val="000000"/>
        </w:rPr>
        <w:t>34.第34行“（三）其他”：填报除第32行至第33行以外的允许税前扣除的金融企业准备金的纳税调整情况。填列方法同第3行。</w:t>
      </w:r>
    </w:p>
    <w:p>
      <w:pPr>
        <w:pStyle w:val="9"/>
        <w:rPr>
          <w:color w:val="000000"/>
        </w:rPr>
      </w:pPr>
      <w:r>
        <w:rPr>
          <w:rFonts w:hint="eastAsia"/>
          <w:color w:val="000000"/>
        </w:rPr>
        <w:t>35.第35行“五、中小企业信用担保机构”：填报第36+37+38行的合计金额。</w:t>
      </w:r>
    </w:p>
    <w:p>
      <w:pPr>
        <w:pStyle w:val="9"/>
        <w:rPr>
          <w:color w:val="000000"/>
        </w:rPr>
      </w:pPr>
      <w:r>
        <w:rPr>
          <w:rFonts w:hint="eastAsia"/>
          <w:color w:val="000000"/>
        </w:rPr>
        <w:t>36.第36行“（一）担保赔偿准备”：填报担保赔偿准备的纳税调整情况。填列方法同第3行。</w:t>
      </w:r>
    </w:p>
    <w:p>
      <w:pPr>
        <w:pStyle w:val="9"/>
        <w:rPr>
          <w:color w:val="000000"/>
        </w:rPr>
      </w:pPr>
      <w:r>
        <w:rPr>
          <w:rFonts w:hint="eastAsia"/>
          <w:color w:val="000000"/>
        </w:rPr>
        <w:t>37.第37行“（二）未到期责任准备”：填报未到期责任准备的纳税调整情况。填列方法同第3行。</w:t>
      </w:r>
    </w:p>
    <w:p>
      <w:pPr>
        <w:pStyle w:val="9"/>
        <w:rPr>
          <w:color w:val="000000"/>
        </w:rPr>
      </w:pPr>
      <w:r>
        <w:rPr>
          <w:rFonts w:hint="eastAsia"/>
          <w:color w:val="000000"/>
        </w:rPr>
        <w:t>38.第38行“（三）其他”：填报除第36、37行以外的允许税前扣除的中小企业信用担保机构准备的纳税调整情况。填列方法同第3行。</w:t>
      </w:r>
    </w:p>
    <w:p>
      <w:pPr>
        <w:pStyle w:val="9"/>
        <w:rPr>
          <w:color w:val="000000"/>
        </w:rPr>
      </w:pPr>
      <w:r>
        <w:rPr>
          <w:rFonts w:hint="eastAsia"/>
          <w:color w:val="000000"/>
        </w:rPr>
        <w:t>39.第39行“六、小额贷款公司”：填报第40+41行的合计金额。</w:t>
      </w:r>
    </w:p>
    <w:p>
      <w:pPr>
        <w:pStyle w:val="9"/>
        <w:rPr>
          <w:color w:val="000000"/>
        </w:rPr>
      </w:pPr>
      <w:r>
        <w:rPr>
          <w:rFonts w:hint="eastAsia"/>
          <w:color w:val="000000"/>
        </w:rPr>
        <w:t>40.第40行“（一）贷款损失准备金”：填报经省级金融管理部门批准成立的小额贷款公司贷款损失准备金的纳税调整情况。填列方法同第3行。</w:t>
      </w:r>
    </w:p>
    <w:p>
      <w:pPr>
        <w:pStyle w:val="9"/>
        <w:rPr>
          <w:color w:val="000000"/>
        </w:rPr>
      </w:pPr>
      <w:r>
        <w:rPr>
          <w:rFonts w:hint="eastAsia"/>
          <w:color w:val="000000"/>
        </w:rPr>
        <w:t>41.第41行“（二）其他”：填报除第40行以外的允许税前扣除的小额贷款公司贷款损失准备金的纳税调整情况。填列方法同第3行。</w:t>
      </w:r>
    </w:p>
    <w:p>
      <w:pPr>
        <w:pStyle w:val="9"/>
        <w:rPr>
          <w:color w:val="000000"/>
        </w:rPr>
      </w:pPr>
      <w:r>
        <w:rPr>
          <w:rFonts w:hint="eastAsia"/>
          <w:color w:val="000000"/>
        </w:rPr>
        <w:t>42.第42行“七、其他”：填报除保险公司、证券行业、期货行业、金融企业、中小企业信用担保机构、小额贷款公司以外的允许税前扣除的特殊行业准备金的纳税调整情况。填列方法同第3行。</w:t>
      </w:r>
    </w:p>
    <w:p>
      <w:pPr>
        <w:pStyle w:val="9"/>
        <w:rPr>
          <w:color w:val="000000"/>
        </w:rPr>
      </w:pPr>
      <w:r>
        <w:rPr>
          <w:rFonts w:hint="eastAsia"/>
          <w:color w:val="000000"/>
        </w:rPr>
        <w:t>43.第43行“合计”：填报第1+21+26+31+35+39+42行的合计金额。</w:t>
      </w:r>
    </w:p>
    <w:p>
      <w:pPr>
        <w:pStyle w:val="11"/>
        <w:ind w:firstLine="482"/>
      </w:pPr>
      <w:r>
        <w:rPr>
          <w:rFonts w:hint="eastAsia"/>
        </w:rPr>
        <w:t>二、表内、表间关系</w:t>
      </w:r>
    </w:p>
    <w:p>
      <w:pPr>
        <w:pStyle w:val="12"/>
      </w:pPr>
      <w:r>
        <w:rPr>
          <w:rFonts w:hint="eastAsia"/>
        </w:rPr>
        <w:t>（一）表内关系</w:t>
      </w:r>
    </w:p>
    <w:p>
      <w:pPr>
        <w:pStyle w:val="9"/>
        <w:rPr>
          <w:color w:val="000000"/>
        </w:rPr>
      </w:pPr>
      <w:r>
        <w:rPr>
          <w:rFonts w:hint="eastAsia"/>
          <w:color w:val="000000"/>
        </w:rPr>
        <w:t>1.第3列＝第1-2列。</w:t>
      </w:r>
    </w:p>
    <w:p>
      <w:pPr>
        <w:pStyle w:val="9"/>
        <w:rPr>
          <w:color w:val="000000"/>
        </w:rPr>
      </w:pPr>
      <w:r>
        <w:rPr>
          <w:rFonts w:hint="eastAsia"/>
          <w:color w:val="000000"/>
        </w:rPr>
        <w:t>2.第1行＝第2+13+14+15+16+19+20行。</w:t>
      </w:r>
    </w:p>
    <w:p>
      <w:pPr>
        <w:pStyle w:val="9"/>
        <w:rPr>
          <w:color w:val="000000"/>
        </w:rPr>
      </w:pPr>
      <w:r>
        <w:rPr>
          <w:rFonts w:hint="eastAsia"/>
          <w:color w:val="000000"/>
        </w:rPr>
        <w:t>3.第2行＝第3+4+5+6+7+8+9+10+11+12行。</w:t>
      </w:r>
    </w:p>
    <w:p>
      <w:pPr>
        <w:pStyle w:val="9"/>
        <w:rPr>
          <w:color w:val="000000"/>
        </w:rPr>
      </w:pPr>
      <w:r>
        <w:rPr>
          <w:rFonts w:hint="eastAsia"/>
          <w:color w:val="000000"/>
        </w:rPr>
        <w:t>4.第16行＝第17+18行。</w:t>
      </w:r>
    </w:p>
    <w:p>
      <w:pPr>
        <w:pStyle w:val="9"/>
        <w:rPr>
          <w:color w:val="000000"/>
        </w:rPr>
      </w:pPr>
      <w:r>
        <w:rPr>
          <w:rFonts w:hint="eastAsia"/>
          <w:color w:val="000000"/>
        </w:rPr>
        <w:t>5.第21行＝第22+23+24+25行。</w:t>
      </w:r>
    </w:p>
    <w:p>
      <w:pPr>
        <w:pStyle w:val="9"/>
        <w:rPr>
          <w:color w:val="000000"/>
        </w:rPr>
      </w:pPr>
      <w:r>
        <w:rPr>
          <w:rFonts w:hint="eastAsia"/>
          <w:color w:val="000000"/>
        </w:rPr>
        <w:t>6.第26行＝第27+28+29+30行。</w:t>
      </w:r>
    </w:p>
    <w:p>
      <w:pPr>
        <w:pStyle w:val="9"/>
        <w:rPr>
          <w:color w:val="000000"/>
        </w:rPr>
      </w:pPr>
      <w:r>
        <w:rPr>
          <w:rFonts w:hint="eastAsia"/>
          <w:color w:val="000000"/>
        </w:rPr>
        <w:t>7.第31行＝第32+33+34行。</w:t>
      </w:r>
    </w:p>
    <w:p>
      <w:pPr>
        <w:pStyle w:val="9"/>
        <w:rPr>
          <w:color w:val="000000"/>
        </w:rPr>
      </w:pPr>
      <w:r>
        <w:rPr>
          <w:rFonts w:hint="eastAsia"/>
          <w:color w:val="000000"/>
        </w:rPr>
        <w:t>8.第35行＝第36+37+38行。</w:t>
      </w:r>
    </w:p>
    <w:p>
      <w:pPr>
        <w:pStyle w:val="9"/>
        <w:rPr>
          <w:color w:val="000000"/>
        </w:rPr>
      </w:pPr>
      <w:r>
        <w:rPr>
          <w:rFonts w:hint="eastAsia"/>
          <w:color w:val="000000"/>
        </w:rPr>
        <w:t>9.第39行＝第40+41行。</w:t>
      </w:r>
    </w:p>
    <w:p>
      <w:pPr>
        <w:pStyle w:val="9"/>
        <w:rPr>
          <w:color w:val="000000"/>
        </w:rPr>
      </w:pPr>
      <w:r>
        <w:rPr>
          <w:color w:val="000000"/>
        </w:rPr>
        <w:t>10</w:t>
      </w:r>
      <w:r>
        <w:rPr>
          <w:rFonts w:hint="eastAsia"/>
          <w:color w:val="000000"/>
        </w:rPr>
        <w:t>.第43行＝第1+21+26+31+35+39+42行。</w:t>
      </w:r>
    </w:p>
    <w:p>
      <w:pPr>
        <w:pStyle w:val="12"/>
      </w:pPr>
      <w:r>
        <w:rPr>
          <w:rFonts w:hint="eastAsia"/>
        </w:rPr>
        <w:t>（二）表间关系</w:t>
      </w:r>
    </w:p>
    <w:p>
      <w:pPr>
        <w:pStyle w:val="9"/>
        <w:rPr>
          <w:color w:val="000000"/>
        </w:rPr>
      </w:pPr>
      <w:r>
        <w:rPr>
          <w:rFonts w:hint="eastAsia"/>
          <w:color w:val="000000"/>
        </w:rPr>
        <w:t>1.第43行第1列＝表A105000第3</w:t>
      </w:r>
      <w:r>
        <w:rPr>
          <w:color w:val="000000"/>
        </w:rPr>
        <w:t>9</w:t>
      </w:r>
      <w:r>
        <w:rPr>
          <w:rFonts w:hint="eastAsia"/>
          <w:color w:val="000000"/>
        </w:rPr>
        <w:t>行第1列。</w:t>
      </w:r>
    </w:p>
    <w:p>
      <w:pPr>
        <w:pStyle w:val="9"/>
        <w:rPr>
          <w:color w:val="000000"/>
        </w:rPr>
      </w:pPr>
      <w:r>
        <w:rPr>
          <w:rFonts w:hint="eastAsia"/>
          <w:color w:val="000000"/>
        </w:rPr>
        <w:t>2.第43行第2列＝表A105000第3</w:t>
      </w:r>
      <w:r>
        <w:rPr>
          <w:color w:val="000000"/>
        </w:rPr>
        <w:t>9</w:t>
      </w:r>
      <w:r>
        <w:rPr>
          <w:rFonts w:hint="eastAsia"/>
          <w:color w:val="000000"/>
        </w:rPr>
        <w:t>行第2列。</w:t>
      </w:r>
    </w:p>
    <w:p>
      <w:pPr>
        <w:pStyle w:val="9"/>
        <w:rPr>
          <w:color w:val="000000"/>
        </w:rPr>
        <w:sectPr>
          <w:pgSz w:w="11906" w:h="16838"/>
          <w:pgMar w:top="1985" w:right="1418" w:bottom="1928" w:left="1418" w:header="851" w:footer="992" w:gutter="113"/>
          <w:cols w:space="425" w:num="1"/>
          <w:docGrid w:linePitch="312" w:charSpace="0"/>
        </w:sectPr>
      </w:pPr>
      <w:r>
        <w:rPr>
          <w:rFonts w:hint="eastAsia"/>
          <w:color w:val="000000"/>
        </w:rPr>
        <w:t>3.若第43行第3列≥0，第43行第3列＝表A105000第</w:t>
      </w:r>
      <w:r>
        <w:rPr>
          <w:color w:val="000000"/>
        </w:rPr>
        <w:t>3</w:t>
      </w:r>
      <w:r>
        <w:rPr>
          <w:rFonts w:hint="eastAsia"/>
          <w:color w:val="000000"/>
        </w:rPr>
        <w:t>9行第3列；若第43行第3列＜0，第43行第3列的绝对值＝表A105000第</w:t>
      </w:r>
      <w:r>
        <w:rPr>
          <w:color w:val="000000"/>
        </w:rPr>
        <w:t>3</w:t>
      </w:r>
      <w:r>
        <w:rPr>
          <w:rFonts w:hint="eastAsia"/>
          <w:color w:val="000000"/>
        </w:rPr>
        <w:t>9行第4列。</w:t>
      </w:r>
    </w:p>
    <w:p>
      <w:pPr>
        <w:pStyle w:val="13"/>
      </w:pPr>
      <w:bookmarkStart w:id="70" w:name="_Toc499456595"/>
      <w:r>
        <w:rPr>
          <w:rFonts w:hint="eastAsia"/>
        </w:rPr>
        <w:t>A106000</w:t>
      </w:r>
      <w:r>
        <w:tab/>
      </w:r>
      <w:r>
        <w:rPr>
          <w:rFonts w:hint="eastAsia"/>
        </w:rPr>
        <w:t>企业所得税弥补亏损明细表</w:t>
      </w:r>
      <w:bookmarkEnd w:id="70"/>
    </w:p>
    <w:tbl>
      <w:tblPr>
        <w:tblStyle w:val="7"/>
        <w:tblW w:w="1373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0"/>
        <w:gridCol w:w="1072"/>
        <w:gridCol w:w="775"/>
        <w:gridCol w:w="1179"/>
        <w:gridCol w:w="1274"/>
        <w:gridCol w:w="1180"/>
        <w:gridCol w:w="1030"/>
        <w:gridCol w:w="1133"/>
        <w:gridCol w:w="1082"/>
        <w:gridCol w:w="1051"/>
        <w:gridCol w:w="977"/>
        <w:gridCol w:w="1086"/>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7" w:hRule="atLeast"/>
          <w:jc w:val="center"/>
        </w:trPr>
        <w:tc>
          <w:tcPr>
            <w:tcW w:w="62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072"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w:t>
            </w:r>
          </w:p>
        </w:tc>
        <w:tc>
          <w:tcPr>
            <w:tcW w:w="775"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p>
        </w:tc>
        <w:tc>
          <w:tcPr>
            <w:tcW w:w="1179"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可弥补亏损所得</w:t>
            </w:r>
          </w:p>
        </w:tc>
        <w:tc>
          <w:tcPr>
            <w:tcW w:w="1274"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合并、分立转入（转出）可弥补的亏损额</w:t>
            </w:r>
          </w:p>
        </w:tc>
        <w:tc>
          <w:tcPr>
            <w:tcW w:w="118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当年可弥补的亏损额</w:t>
            </w:r>
          </w:p>
        </w:tc>
        <w:tc>
          <w:tcPr>
            <w:tcW w:w="5273" w:type="dxa"/>
            <w:gridSpan w:val="5"/>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以前年度亏损已弥补额</w:t>
            </w:r>
          </w:p>
        </w:tc>
        <w:tc>
          <w:tcPr>
            <w:tcW w:w="1086"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本年度实际弥补的以前年度亏损额</w:t>
            </w:r>
          </w:p>
        </w:tc>
        <w:tc>
          <w:tcPr>
            <w:tcW w:w="1276"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可结转以后年度弥补的亏损额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6" w:hRule="atLeast"/>
          <w:jc w:val="center"/>
        </w:trPr>
        <w:tc>
          <w:tcPr>
            <w:tcW w:w="620" w:type="dxa"/>
            <w:vMerge w:val="continue"/>
            <w:shd w:val="clear" w:color="auto" w:fill="auto"/>
            <w:vAlign w:val="center"/>
          </w:tcPr>
          <w:p>
            <w:pPr>
              <w:widowControl/>
              <w:jc w:val="left"/>
              <w:rPr>
                <w:rFonts w:ascii="宋体" w:hAnsi="宋体" w:cs="宋体"/>
                <w:kern w:val="0"/>
                <w:sz w:val="20"/>
                <w:szCs w:val="20"/>
              </w:rPr>
            </w:pPr>
          </w:p>
        </w:tc>
        <w:tc>
          <w:tcPr>
            <w:tcW w:w="1072" w:type="dxa"/>
            <w:vMerge w:val="continue"/>
            <w:shd w:val="clear" w:color="auto" w:fill="auto"/>
            <w:vAlign w:val="center"/>
          </w:tcPr>
          <w:p>
            <w:pPr>
              <w:widowControl/>
              <w:jc w:val="left"/>
              <w:rPr>
                <w:rFonts w:ascii="宋体" w:hAnsi="宋体" w:cs="宋体"/>
                <w:kern w:val="0"/>
                <w:sz w:val="20"/>
                <w:szCs w:val="20"/>
              </w:rPr>
            </w:pPr>
          </w:p>
        </w:tc>
        <w:tc>
          <w:tcPr>
            <w:tcW w:w="775" w:type="dxa"/>
            <w:vMerge w:val="continue"/>
            <w:shd w:val="clear" w:color="auto" w:fill="auto"/>
            <w:vAlign w:val="center"/>
          </w:tcPr>
          <w:p>
            <w:pPr>
              <w:widowControl/>
              <w:jc w:val="left"/>
              <w:rPr>
                <w:rFonts w:ascii="宋体" w:hAnsi="宋体" w:cs="宋体"/>
                <w:kern w:val="0"/>
                <w:sz w:val="20"/>
                <w:szCs w:val="20"/>
              </w:rPr>
            </w:pPr>
          </w:p>
        </w:tc>
        <w:tc>
          <w:tcPr>
            <w:tcW w:w="1179" w:type="dxa"/>
            <w:vMerge w:val="continue"/>
            <w:shd w:val="clear" w:color="auto" w:fill="auto"/>
            <w:vAlign w:val="center"/>
          </w:tcPr>
          <w:p>
            <w:pPr>
              <w:widowControl/>
              <w:jc w:val="left"/>
              <w:rPr>
                <w:rFonts w:ascii="宋体" w:hAnsi="宋体" w:cs="宋体"/>
                <w:kern w:val="0"/>
                <w:sz w:val="20"/>
                <w:szCs w:val="20"/>
              </w:rPr>
            </w:pPr>
          </w:p>
        </w:tc>
        <w:tc>
          <w:tcPr>
            <w:tcW w:w="1274" w:type="dxa"/>
            <w:vMerge w:val="continue"/>
            <w:shd w:val="clear" w:color="auto" w:fill="auto"/>
            <w:vAlign w:val="center"/>
          </w:tcPr>
          <w:p>
            <w:pPr>
              <w:widowControl/>
              <w:jc w:val="left"/>
              <w:rPr>
                <w:rFonts w:ascii="宋体" w:hAnsi="宋体" w:cs="宋体"/>
                <w:kern w:val="0"/>
                <w:sz w:val="20"/>
                <w:szCs w:val="20"/>
              </w:rPr>
            </w:pPr>
          </w:p>
        </w:tc>
        <w:tc>
          <w:tcPr>
            <w:tcW w:w="1180" w:type="dxa"/>
            <w:vMerge w:val="continue"/>
            <w:shd w:val="clear" w:color="auto" w:fill="auto"/>
            <w:vAlign w:val="center"/>
          </w:tcPr>
          <w:p>
            <w:pPr>
              <w:widowControl/>
              <w:jc w:val="left"/>
              <w:rPr>
                <w:rFonts w:ascii="宋体" w:hAnsi="宋体" w:cs="宋体"/>
                <w:kern w:val="0"/>
                <w:sz w:val="20"/>
                <w:szCs w:val="20"/>
              </w:rPr>
            </w:pPr>
          </w:p>
        </w:tc>
        <w:tc>
          <w:tcPr>
            <w:tcW w:w="10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前四年度</w:t>
            </w:r>
          </w:p>
        </w:tc>
        <w:tc>
          <w:tcPr>
            <w:tcW w:w="1133"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前三年度</w:t>
            </w:r>
          </w:p>
        </w:tc>
        <w:tc>
          <w:tcPr>
            <w:tcW w:w="108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前二年度</w:t>
            </w:r>
          </w:p>
        </w:tc>
        <w:tc>
          <w:tcPr>
            <w:tcW w:w="105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前一年度</w:t>
            </w:r>
          </w:p>
        </w:tc>
        <w:tc>
          <w:tcPr>
            <w:tcW w:w="97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086" w:type="dxa"/>
            <w:vMerge w:val="continue"/>
            <w:vAlign w:val="center"/>
          </w:tcPr>
          <w:p>
            <w:pPr>
              <w:widowControl/>
              <w:jc w:val="left"/>
              <w:rPr>
                <w:rFonts w:ascii="宋体" w:hAnsi="宋体" w:cs="宋体"/>
                <w:kern w:val="0"/>
                <w:sz w:val="20"/>
                <w:szCs w:val="20"/>
              </w:rPr>
            </w:pPr>
          </w:p>
        </w:tc>
        <w:tc>
          <w:tcPr>
            <w:tcW w:w="1276" w:type="dxa"/>
            <w:vMerge w:val="continue"/>
            <w:vAlign w:val="center"/>
          </w:tcPr>
          <w:p>
            <w:pPr>
              <w:widowControl/>
              <w:jc w:val="lef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20" w:type="dxa"/>
            <w:vMerge w:val="continue"/>
            <w:shd w:val="clear" w:color="auto" w:fill="auto"/>
            <w:vAlign w:val="center"/>
          </w:tcPr>
          <w:p>
            <w:pPr>
              <w:widowControl/>
              <w:jc w:val="left"/>
              <w:rPr>
                <w:rFonts w:ascii="宋体" w:hAnsi="宋体" w:cs="宋体"/>
                <w:kern w:val="0"/>
                <w:sz w:val="20"/>
                <w:szCs w:val="20"/>
              </w:rPr>
            </w:pPr>
          </w:p>
        </w:tc>
        <w:tc>
          <w:tcPr>
            <w:tcW w:w="1072" w:type="dxa"/>
            <w:vMerge w:val="continue"/>
            <w:shd w:val="clear" w:color="auto" w:fill="auto"/>
            <w:vAlign w:val="center"/>
          </w:tcPr>
          <w:p>
            <w:pPr>
              <w:widowControl/>
              <w:jc w:val="left"/>
              <w:rPr>
                <w:rFonts w:ascii="宋体" w:hAnsi="宋体" w:cs="宋体"/>
                <w:kern w:val="0"/>
                <w:sz w:val="20"/>
                <w:szCs w:val="20"/>
              </w:rPr>
            </w:pPr>
          </w:p>
        </w:tc>
        <w:tc>
          <w:tcPr>
            <w:tcW w:w="775"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7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274"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8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33"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8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05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97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08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27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7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前五年度</w:t>
            </w:r>
          </w:p>
        </w:tc>
        <w:tc>
          <w:tcPr>
            <w:tcW w:w="775" w:type="dxa"/>
            <w:shd w:val="clear" w:color="auto" w:fill="auto"/>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17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3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2"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51"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7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6" w:type="dxa"/>
            <w:shd w:val="clear" w:color="auto" w:fill="auto"/>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27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7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前四年度</w:t>
            </w:r>
          </w:p>
        </w:tc>
        <w:tc>
          <w:tcPr>
            <w:tcW w:w="775" w:type="dxa"/>
            <w:shd w:val="clear" w:color="auto" w:fill="auto"/>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17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3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2"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51"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7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6" w:type="dxa"/>
            <w:shd w:val="clear" w:color="auto" w:fill="auto"/>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27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7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前三年度</w:t>
            </w:r>
          </w:p>
        </w:tc>
        <w:tc>
          <w:tcPr>
            <w:tcW w:w="775" w:type="dxa"/>
            <w:shd w:val="clear" w:color="auto" w:fill="auto"/>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17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33"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82"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51"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7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6" w:type="dxa"/>
            <w:shd w:val="clear" w:color="auto" w:fill="auto"/>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27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7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前二年度</w:t>
            </w:r>
          </w:p>
        </w:tc>
        <w:tc>
          <w:tcPr>
            <w:tcW w:w="775" w:type="dxa"/>
            <w:shd w:val="clear" w:color="auto" w:fill="auto"/>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17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33"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8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1"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7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6" w:type="dxa"/>
            <w:shd w:val="clear" w:color="auto" w:fill="auto"/>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27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07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前一年度</w:t>
            </w:r>
          </w:p>
        </w:tc>
        <w:tc>
          <w:tcPr>
            <w:tcW w:w="775" w:type="dxa"/>
            <w:shd w:val="clear" w:color="auto" w:fill="auto"/>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17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33"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8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7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86" w:type="dxa"/>
            <w:shd w:val="clear" w:color="auto" w:fill="auto"/>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c>
          <w:tcPr>
            <w:tcW w:w="127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7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本年度</w:t>
            </w:r>
          </w:p>
        </w:tc>
        <w:tc>
          <w:tcPr>
            <w:tcW w:w="775"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7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4"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33"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82"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5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97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8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7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1839" w:type="dxa"/>
            <w:gridSpan w:val="11"/>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可结转以后年度弥补的亏损额合计</w:t>
            </w:r>
          </w:p>
        </w:tc>
        <w:tc>
          <w:tcPr>
            <w:tcW w:w="127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bl>
    <w:p>
      <w:pPr>
        <w:pStyle w:val="9"/>
      </w:pPr>
    </w:p>
    <w:p>
      <w:pPr>
        <w:pStyle w:val="9"/>
        <w:sectPr>
          <w:pgSz w:w="16838" w:h="11906" w:orient="landscape"/>
          <w:pgMar w:top="1418" w:right="1985" w:bottom="1418" w:left="1928" w:header="851" w:footer="992" w:gutter="113"/>
          <w:cols w:space="425" w:num="1"/>
          <w:docGrid w:linePitch="312" w:charSpace="0"/>
        </w:sectPr>
      </w:pPr>
    </w:p>
    <w:bookmarkEnd w:id="41"/>
    <w:p>
      <w:pPr>
        <w:pStyle w:val="8"/>
        <w:spacing w:before="240" w:after="360"/>
        <w:rPr>
          <w:color w:val="000000"/>
        </w:rPr>
      </w:pPr>
      <w:bookmarkStart w:id="71" w:name="_Toc393480298"/>
      <w:bookmarkStart w:id="72" w:name="_Toc499456596"/>
      <w:r>
        <w:rPr>
          <w:rFonts w:hint="eastAsia"/>
          <w:color w:val="000000"/>
        </w:rPr>
        <w:t>A106000</w:t>
      </w:r>
      <w:r>
        <w:rPr>
          <w:color w:val="000000"/>
        </w:rPr>
        <w:tab/>
      </w:r>
      <w:r>
        <w:rPr>
          <w:rFonts w:hint="eastAsia"/>
          <w:color w:val="000000"/>
        </w:rPr>
        <w:t>《企业所得税弥补亏损明细表》填报说明</w:t>
      </w:r>
      <w:bookmarkEnd w:id="71"/>
      <w:bookmarkEnd w:id="72"/>
    </w:p>
    <w:p>
      <w:pPr>
        <w:pStyle w:val="9"/>
        <w:rPr>
          <w:color w:val="000000"/>
        </w:rPr>
      </w:pPr>
      <w:bookmarkStart w:id="73" w:name="_Toc393471104"/>
      <w:r>
        <w:rPr>
          <w:rFonts w:hint="eastAsia"/>
          <w:color w:val="000000"/>
        </w:rPr>
        <w:t>本表填报纳税人根据税法，在本纳税年度及本纳税年度前</w:t>
      </w:r>
      <w:r>
        <w:rPr>
          <w:color w:val="000000"/>
        </w:rPr>
        <w:t>5</w:t>
      </w:r>
      <w:r>
        <w:rPr>
          <w:rFonts w:hint="eastAsia"/>
          <w:color w:val="000000"/>
        </w:rPr>
        <w:t>个可弥补亏损年度的可弥补亏损所得、合并、分立转入（转出）可弥补的亏损额、当年可弥补的亏损额、以前年度亏损已弥补额、本年度实际弥补的以前年度亏损额、可结转以后年度弥补的亏损额。</w:t>
      </w:r>
    </w:p>
    <w:p>
      <w:pPr>
        <w:pStyle w:val="11"/>
        <w:ind w:firstLine="482"/>
      </w:pPr>
      <w:r>
        <w:rPr>
          <w:rFonts w:hint="eastAsia"/>
        </w:rPr>
        <w:t>一、有关项目填报说明</w:t>
      </w:r>
    </w:p>
    <w:p>
      <w:pPr>
        <w:pStyle w:val="9"/>
      </w:pPr>
      <w:r>
        <w:t>1.</w:t>
      </w:r>
      <w:r>
        <w:rPr>
          <w:rFonts w:hint="eastAsia"/>
        </w:rPr>
        <w:t>第</w:t>
      </w:r>
      <w:r>
        <w:t>1</w:t>
      </w:r>
      <w:r>
        <w:rPr>
          <w:rFonts w:hint="eastAsia"/>
        </w:rPr>
        <w:t>列“年度”：填报公历年度。纳税人应首先填报第</w:t>
      </w:r>
      <w:r>
        <w:t>6</w:t>
      </w:r>
      <w:r>
        <w:rPr>
          <w:rFonts w:hint="eastAsia"/>
        </w:rPr>
        <w:t>行本年度，再依次从第</w:t>
      </w:r>
      <w:r>
        <w:t>5</w:t>
      </w:r>
      <w:r>
        <w:rPr>
          <w:rFonts w:hint="eastAsia"/>
        </w:rPr>
        <w:t>行往第</w:t>
      </w:r>
      <w:r>
        <w:t>1</w:t>
      </w:r>
      <w:r>
        <w:rPr>
          <w:rFonts w:hint="eastAsia"/>
        </w:rPr>
        <w:t>行倒推填报以前年度。纳税人发生政策性搬迁事项，如停止生产经营活动年度可以从法定亏损结转弥补年限中减除，则按可弥补亏损年度进行填报。</w:t>
      </w:r>
    </w:p>
    <w:p>
      <w:pPr>
        <w:pStyle w:val="9"/>
      </w:pPr>
      <w:r>
        <w:rPr>
          <w:rFonts w:hint="eastAsia"/>
        </w:rPr>
        <w:t>2.第2列“可弥补亏损所得”：第6行填报表A100000第19行“纳税调整后所得”减去第20行“所得减免”后的值。</w:t>
      </w:r>
    </w:p>
    <w:p>
      <w:pPr>
        <w:pStyle w:val="9"/>
      </w:pPr>
      <w:r>
        <w:rPr>
          <w:rFonts w:hint="eastAsia"/>
        </w:rPr>
        <w:t>第1行至第5行填报以前年度主表第23行（2013纳税年度前）或以前年度表A106000第2列第6行的金额（亏损额以“-”号表示）。发生查补以前年度应纳税所得额、追补以前年度未能税前扣除的实际资产损失等情况的，该行需按修改后的“纳税调整后所得”金额进行填报。</w:t>
      </w:r>
    </w:p>
    <w:p>
      <w:pPr>
        <w:pStyle w:val="9"/>
      </w:pPr>
      <w:r>
        <w:t>3.</w:t>
      </w:r>
      <w:r>
        <w:rPr>
          <w:rFonts w:hint="eastAsia"/>
        </w:rPr>
        <w:t>第</w:t>
      </w:r>
      <w:r>
        <w:t>3</w:t>
      </w:r>
      <w:r>
        <w:rPr>
          <w:rFonts w:hint="eastAsia"/>
        </w:rPr>
        <w:t>列“合并、分立转入（转出）可弥补亏损额”：填报按照企业重组特殊性税务处理规定因企业被合并、分立而允许转入可弥补亏损额，以及因企业分立转出的可弥补亏损额（转入亏损以“-”号表示，转出亏损以正数表示）。合并、分立转入（转出）可弥补亏损额按亏损所属年度填报。</w:t>
      </w:r>
    </w:p>
    <w:p>
      <w:pPr>
        <w:pStyle w:val="9"/>
        <w:rPr>
          <w:color w:val="000000"/>
        </w:rPr>
      </w:pPr>
      <w:r>
        <w:rPr>
          <w:color w:val="000000"/>
        </w:rPr>
        <w:t>4.</w:t>
      </w:r>
      <w:r>
        <w:rPr>
          <w:rFonts w:hint="eastAsia"/>
          <w:color w:val="000000"/>
        </w:rPr>
        <w:t>第</w:t>
      </w:r>
      <w:r>
        <w:rPr>
          <w:color w:val="000000"/>
        </w:rPr>
        <w:t>4</w:t>
      </w:r>
      <w:r>
        <w:rPr>
          <w:rFonts w:hint="eastAsia"/>
          <w:color w:val="000000"/>
        </w:rPr>
        <w:t>列“当年可弥补的亏损额”：当第</w:t>
      </w:r>
      <w:r>
        <w:rPr>
          <w:color w:val="000000"/>
        </w:rPr>
        <w:t>2</w:t>
      </w:r>
      <w:r>
        <w:rPr>
          <w:rFonts w:hint="eastAsia"/>
          <w:color w:val="000000"/>
        </w:rPr>
        <w:t>列小于零时，本项等于第</w:t>
      </w:r>
      <w:r>
        <w:rPr>
          <w:color w:val="000000"/>
        </w:rPr>
        <w:t>2</w:t>
      </w:r>
      <w:r>
        <w:rPr>
          <w:rFonts w:hint="eastAsia"/>
          <w:color w:val="000000"/>
        </w:rPr>
        <w:t>+</w:t>
      </w:r>
      <w:r>
        <w:rPr>
          <w:color w:val="000000"/>
        </w:rPr>
        <w:t>3</w:t>
      </w:r>
      <w:r>
        <w:rPr>
          <w:rFonts w:hint="eastAsia"/>
          <w:color w:val="000000"/>
        </w:rPr>
        <w:t>列；否则，本项等于第</w:t>
      </w:r>
      <w:r>
        <w:rPr>
          <w:color w:val="000000"/>
        </w:rPr>
        <w:t>3</w:t>
      </w:r>
      <w:r>
        <w:rPr>
          <w:rFonts w:hint="eastAsia"/>
          <w:color w:val="000000"/>
        </w:rPr>
        <w:t>列（亏损以“-”号表示）。</w:t>
      </w:r>
    </w:p>
    <w:p>
      <w:pPr>
        <w:pStyle w:val="9"/>
        <w:rPr>
          <w:color w:val="000000"/>
        </w:rPr>
      </w:pPr>
      <w:r>
        <w:rPr>
          <w:color w:val="000000"/>
        </w:rPr>
        <w:t>5.</w:t>
      </w:r>
      <w:r>
        <w:rPr>
          <w:rFonts w:hint="eastAsia"/>
          <w:color w:val="000000"/>
        </w:rPr>
        <w:t>“以前年度亏损已弥补额”：填报以前年度盈利已弥补金额，其中：前四年度、前三年度、前二年度、前一年度与“项目”列中的前四年度、前三年度、前二年度、前一年度相对应。</w:t>
      </w:r>
    </w:p>
    <w:p>
      <w:pPr>
        <w:pStyle w:val="9"/>
        <w:rPr>
          <w:rFonts w:hint="eastAsia"/>
          <w:color w:val="000000"/>
        </w:rPr>
      </w:pPr>
      <w:r>
        <w:rPr>
          <w:color w:val="000000"/>
        </w:rPr>
        <w:t>6.</w:t>
      </w:r>
      <w:r>
        <w:rPr>
          <w:rFonts w:hint="eastAsia"/>
          <w:color w:val="000000"/>
        </w:rPr>
        <w:t>第</w:t>
      </w:r>
      <w:r>
        <w:rPr>
          <w:color w:val="000000"/>
        </w:rPr>
        <w:t>10</w:t>
      </w:r>
      <w:r>
        <w:rPr>
          <w:rFonts w:hint="eastAsia"/>
          <w:color w:val="000000"/>
        </w:rPr>
        <w:t>列“本年度实际弥补的以前年度亏损额”</w:t>
      </w:r>
    </w:p>
    <w:p>
      <w:pPr>
        <w:pStyle w:val="9"/>
        <w:rPr>
          <w:color w:val="000000"/>
        </w:rPr>
      </w:pPr>
      <w:r>
        <w:rPr>
          <w:rFonts w:hint="eastAsia"/>
          <w:color w:val="000000"/>
        </w:rPr>
        <w:t>（1）第</w:t>
      </w:r>
      <w:r>
        <w:rPr>
          <w:color w:val="000000"/>
        </w:rPr>
        <w:t>1</w:t>
      </w:r>
      <w:r>
        <w:rPr>
          <w:rFonts w:hint="eastAsia"/>
          <w:color w:val="000000"/>
        </w:rPr>
        <w:t>行至第</w:t>
      </w:r>
      <w:r>
        <w:rPr>
          <w:color w:val="000000"/>
        </w:rPr>
        <w:t>5</w:t>
      </w:r>
      <w:r>
        <w:rPr>
          <w:rFonts w:hint="eastAsia"/>
          <w:color w:val="000000"/>
        </w:rPr>
        <w:t>行：填报本年度盈利时，用第</w:t>
      </w:r>
      <w:r>
        <w:rPr>
          <w:color w:val="000000"/>
        </w:rPr>
        <w:t>6</w:t>
      </w:r>
      <w:r>
        <w:rPr>
          <w:rFonts w:hint="eastAsia"/>
          <w:color w:val="000000"/>
        </w:rPr>
        <w:t>行第</w:t>
      </w:r>
      <w:r>
        <w:rPr>
          <w:color w:val="000000"/>
        </w:rPr>
        <w:t>2</w:t>
      </w:r>
      <w:r>
        <w:rPr>
          <w:rFonts w:hint="eastAsia"/>
          <w:color w:val="000000"/>
        </w:rPr>
        <w:t>列本年度“可弥补亏损所得”依次弥补前</w:t>
      </w:r>
      <w:r>
        <w:rPr>
          <w:color w:val="000000"/>
        </w:rPr>
        <w:t>5</w:t>
      </w:r>
      <w:r>
        <w:rPr>
          <w:rFonts w:hint="eastAsia"/>
          <w:color w:val="000000"/>
        </w:rPr>
        <w:t>个年度尚未弥补完的亏损额。</w:t>
      </w:r>
    </w:p>
    <w:p>
      <w:pPr>
        <w:pStyle w:val="9"/>
        <w:rPr>
          <w:color w:val="000000"/>
        </w:rPr>
      </w:pPr>
      <w:r>
        <w:rPr>
          <w:rFonts w:hint="eastAsia"/>
          <w:color w:val="000000"/>
        </w:rPr>
        <w:t>（2）第</w:t>
      </w:r>
      <w:r>
        <w:rPr>
          <w:color w:val="000000"/>
        </w:rPr>
        <w:t>6</w:t>
      </w:r>
      <w:r>
        <w:rPr>
          <w:rFonts w:hint="eastAsia"/>
          <w:color w:val="000000"/>
        </w:rPr>
        <w:t>行：金额等于第</w:t>
      </w:r>
      <w:r>
        <w:rPr>
          <w:color w:val="000000"/>
        </w:rPr>
        <w:t>10</w:t>
      </w:r>
      <w:r>
        <w:rPr>
          <w:rFonts w:hint="eastAsia"/>
          <w:color w:val="000000"/>
        </w:rPr>
        <w:t>列第</w:t>
      </w:r>
      <w:r>
        <w:rPr>
          <w:color w:val="000000"/>
        </w:rPr>
        <w:t>1</w:t>
      </w:r>
      <w:r>
        <w:rPr>
          <w:rFonts w:hint="eastAsia"/>
          <w:color w:val="000000"/>
        </w:rPr>
        <w:t>行至第</w:t>
      </w:r>
      <w:r>
        <w:rPr>
          <w:color w:val="000000"/>
        </w:rPr>
        <w:t>5</w:t>
      </w:r>
      <w:r>
        <w:rPr>
          <w:rFonts w:hint="eastAsia"/>
          <w:color w:val="000000"/>
        </w:rPr>
        <w:t>行的合计金额，该数据填入本年度表</w:t>
      </w:r>
      <w:r>
        <w:rPr>
          <w:color w:val="000000"/>
        </w:rPr>
        <w:t>A10000</w:t>
      </w:r>
      <w:r>
        <w:rPr>
          <w:rFonts w:hint="eastAsia"/>
          <w:color w:val="000000"/>
        </w:rPr>
        <w:t>0第21行。</w:t>
      </w:r>
    </w:p>
    <w:p>
      <w:pPr>
        <w:pStyle w:val="9"/>
        <w:rPr>
          <w:rFonts w:hint="eastAsia"/>
          <w:color w:val="000000"/>
        </w:rPr>
      </w:pPr>
      <w:r>
        <w:rPr>
          <w:rFonts w:hint="eastAsia"/>
          <w:color w:val="000000"/>
        </w:rPr>
        <w:t>7</w:t>
      </w:r>
      <w:r>
        <w:rPr>
          <w:color w:val="000000"/>
        </w:rPr>
        <w:t>.</w:t>
      </w:r>
      <w:r>
        <w:rPr>
          <w:rFonts w:hint="eastAsia"/>
          <w:color w:val="000000"/>
        </w:rPr>
        <w:t>第</w:t>
      </w:r>
      <w:r>
        <w:rPr>
          <w:color w:val="000000"/>
        </w:rPr>
        <w:t>11</w:t>
      </w:r>
      <w:r>
        <w:rPr>
          <w:rFonts w:hint="eastAsia"/>
          <w:color w:val="000000"/>
        </w:rPr>
        <w:t>列“可结转以后年度弥补的亏损额”</w:t>
      </w:r>
    </w:p>
    <w:p>
      <w:pPr>
        <w:pStyle w:val="9"/>
        <w:rPr>
          <w:color w:val="000000"/>
        </w:rPr>
      </w:pPr>
      <w:r>
        <w:rPr>
          <w:rFonts w:hint="eastAsia"/>
          <w:color w:val="000000"/>
        </w:rPr>
        <w:t>（1）第</w:t>
      </w:r>
      <w:r>
        <w:rPr>
          <w:color w:val="000000"/>
        </w:rPr>
        <w:t>2</w:t>
      </w:r>
      <w:r>
        <w:rPr>
          <w:rFonts w:hint="eastAsia"/>
          <w:color w:val="000000"/>
        </w:rPr>
        <w:t>行至第</w:t>
      </w:r>
      <w:r>
        <w:rPr>
          <w:color w:val="000000"/>
        </w:rPr>
        <w:t>6</w:t>
      </w:r>
      <w:r>
        <w:rPr>
          <w:rFonts w:hint="eastAsia"/>
          <w:color w:val="000000"/>
        </w:rPr>
        <w:t>行：填报本年度前</w:t>
      </w:r>
      <w:r>
        <w:rPr>
          <w:color w:val="000000"/>
        </w:rPr>
        <w:t>4</w:t>
      </w:r>
      <w:r>
        <w:rPr>
          <w:rFonts w:hint="eastAsia"/>
          <w:color w:val="000000"/>
        </w:rPr>
        <w:t>个年度尚未弥补完的亏损额，以及本年度的亏损额。若纳税人有境外所得且选择用境外所得弥补以前年度境内亏损，填报用境外所得弥补本年度前</w:t>
      </w:r>
      <w:r>
        <w:rPr>
          <w:color w:val="000000"/>
        </w:rPr>
        <w:t>4</w:t>
      </w:r>
      <w:r>
        <w:rPr>
          <w:rFonts w:hint="eastAsia"/>
          <w:color w:val="000000"/>
        </w:rPr>
        <w:t>个年度境内亏损后尚未弥补完的亏损额。</w:t>
      </w:r>
    </w:p>
    <w:p>
      <w:pPr>
        <w:pStyle w:val="9"/>
        <w:rPr>
          <w:color w:val="000000"/>
        </w:rPr>
      </w:pPr>
      <w:r>
        <w:rPr>
          <w:rFonts w:hint="eastAsia"/>
          <w:color w:val="000000"/>
        </w:rPr>
        <w:t>（2）第</w:t>
      </w:r>
      <w:r>
        <w:rPr>
          <w:color w:val="000000"/>
        </w:rPr>
        <w:t>7</w:t>
      </w:r>
      <w:r>
        <w:rPr>
          <w:rFonts w:hint="eastAsia"/>
          <w:color w:val="000000"/>
        </w:rPr>
        <w:t>行：填报第</w:t>
      </w:r>
      <w:r>
        <w:rPr>
          <w:color w:val="000000"/>
        </w:rPr>
        <w:t>11</w:t>
      </w:r>
      <w:r>
        <w:rPr>
          <w:rFonts w:hint="eastAsia"/>
          <w:color w:val="000000"/>
        </w:rPr>
        <w:t>列第</w:t>
      </w:r>
      <w:r>
        <w:rPr>
          <w:color w:val="000000"/>
        </w:rPr>
        <w:t>2</w:t>
      </w:r>
      <w:r>
        <w:rPr>
          <w:rFonts w:hint="eastAsia"/>
          <w:color w:val="000000"/>
        </w:rPr>
        <w:t>行至第</w:t>
      </w:r>
      <w:r>
        <w:rPr>
          <w:color w:val="000000"/>
        </w:rPr>
        <w:t>6</w:t>
      </w:r>
      <w:r>
        <w:rPr>
          <w:rFonts w:hint="eastAsia"/>
          <w:color w:val="000000"/>
        </w:rPr>
        <w:t>行的合计金额。</w:t>
      </w:r>
    </w:p>
    <w:p>
      <w:pPr>
        <w:pStyle w:val="11"/>
        <w:ind w:firstLine="482"/>
      </w:pPr>
      <w:r>
        <w:rPr>
          <w:rFonts w:hint="eastAsia"/>
        </w:rPr>
        <w:t>二、表内、表间关系</w:t>
      </w:r>
    </w:p>
    <w:p>
      <w:pPr>
        <w:pStyle w:val="12"/>
      </w:pPr>
      <w:r>
        <w:rPr>
          <w:rFonts w:hint="eastAsia"/>
        </w:rPr>
        <w:t>（一）表内关系</w:t>
      </w:r>
    </w:p>
    <w:p>
      <w:pPr>
        <w:pStyle w:val="9"/>
        <w:rPr>
          <w:color w:val="000000"/>
        </w:rPr>
      </w:pPr>
      <w:r>
        <w:rPr>
          <w:rFonts w:hint="eastAsia"/>
          <w:color w:val="000000"/>
        </w:rPr>
        <w:t>1.若第2列＜0，第4列＝第2+3列，否则第4列＝第3列。</w:t>
      </w:r>
    </w:p>
    <w:p>
      <w:pPr>
        <w:pStyle w:val="9"/>
        <w:rPr>
          <w:color w:val="000000"/>
        </w:rPr>
      </w:pPr>
      <w:r>
        <w:rPr>
          <w:rFonts w:hint="eastAsia"/>
          <w:color w:val="000000"/>
        </w:rPr>
        <w:t>2.若第3列＞0且第2列＜0，第3列＜第2列的绝对值。</w:t>
      </w:r>
    </w:p>
    <w:p>
      <w:pPr>
        <w:pStyle w:val="9"/>
        <w:rPr>
          <w:color w:val="000000"/>
        </w:rPr>
      </w:pPr>
      <w:r>
        <w:rPr>
          <w:rFonts w:hint="eastAsia"/>
          <w:color w:val="000000"/>
        </w:rPr>
        <w:t>3.第9列＝第5+6+7+8列。</w:t>
      </w:r>
    </w:p>
    <w:p>
      <w:pPr>
        <w:pStyle w:val="9"/>
        <w:rPr>
          <w:color w:val="000000"/>
        </w:rPr>
      </w:pPr>
      <w:r>
        <w:rPr>
          <w:rFonts w:hint="eastAsia"/>
          <w:color w:val="000000"/>
        </w:rPr>
        <w:t>4.若第2列第6行＞0，第10列第1行至第5行同一行次≤第4列第1行至第5行同一行次的绝对值-第9列第1行至第5行同一行次；若第2列第6行≤0，第10列第1行至第5行＝0。</w:t>
      </w:r>
    </w:p>
    <w:p>
      <w:pPr>
        <w:pStyle w:val="9"/>
        <w:rPr>
          <w:color w:val="000000"/>
        </w:rPr>
      </w:pPr>
      <w:r>
        <w:rPr>
          <w:rFonts w:hint="eastAsia"/>
          <w:color w:val="000000"/>
        </w:rPr>
        <w:t>5.若第2列第6行＞0，第10列第6行＝第10列第1+2+3+4+5行且≤第2列第6行；若第2列第6行≤0，第10列第6行＝0。</w:t>
      </w:r>
    </w:p>
    <w:p>
      <w:pPr>
        <w:pStyle w:val="9"/>
        <w:rPr>
          <w:color w:val="000000"/>
        </w:rPr>
      </w:pPr>
      <w:r>
        <w:rPr>
          <w:rFonts w:hint="eastAsia"/>
          <w:color w:val="000000"/>
        </w:rPr>
        <w:t>6.第4列为负数的行次，第11列同一行次＝第4列该行的绝对值-第9列该行-第10列该行（若纳税人选择用境外所得弥补以前年度境内亏损，不适用上述规则）；否则，第11列同一行次＝0。</w:t>
      </w:r>
    </w:p>
    <w:p>
      <w:pPr>
        <w:pStyle w:val="9"/>
        <w:rPr>
          <w:color w:val="000000"/>
        </w:rPr>
      </w:pPr>
      <w:r>
        <w:rPr>
          <w:rFonts w:hint="eastAsia"/>
          <w:color w:val="000000"/>
        </w:rPr>
        <w:t>7.第11列第7行＝第11列第2+3+4+5+6行。</w:t>
      </w:r>
    </w:p>
    <w:p>
      <w:pPr>
        <w:pStyle w:val="12"/>
      </w:pPr>
      <w:r>
        <w:rPr>
          <w:rFonts w:hint="eastAsia"/>
        </w:rPr>
        <w:t>（二）表间关系</w:t>
      </w:r>
    </w:p>
    <w:p>
      <w:pPr>
        <w:pStyle w:val="9"/>
        <w:rPr>
          <w:color w:val="000000"/>
        </w:rPr>
      </w:pPr>
      <w:r>
        <w:rPr>
          <w:rFonts w:hint="eastAsia"/>
          <w:color w:val="000000"/>
        </w:rPr>
        <w:t>1.第6行第2列＝表A100000第19-20行。</w:t>
      </w:r>
    </w:p>
    <w:p>
      <w:pPr>
        <w:pStyle w:val="9"/>
        <w:rPr>
          <w:color w:val="000000"/>
        </w:rPr>
        <w:sectPr>
          <w:pgSz w:w="11906" w:h="16838"/>
          <w:pgMar w:top="1985" w:right="1418" w:bottom="1928" w:left="1418" w:header="851" w:footer="992" w:gutter="113"/>
          <w:cols w:space="425" w:num="1"/>
          <w:titlePg/>
          <w:docGrid w:linePitch="312" w:charSpace="0"/>
        </w:sectPr>
      </w:pPr>
      <w:r>
        <w:rPr>
          <w:rFonts w:hint="eastAsia"/>
          <w:color w:val="000000"/>
        </w:rPr>
        <w:t>2.第6行第10列＝表A100000第21行。</w:t>
      </w:r>
    </w:p>
    <w:p>
      <w:pPr>
        <w:pStyle w:val="10"/>
      </w:pPr>
      <w:bookmarkStart w:id="74" w:name="_Toc499456597"/>
      <w:r>
        <w:rPr>
          <w:rFonts w:hint="eastAsia"/>
        </w:rPr>
        <w:t>A107010</w:t>
      </w:r>
      <w:r>
        <w:tab/>
      </w:r>
      <w:r>
        <w:rPr>
          <w:rFonts w:hint="eastAsia"/>
        </w:rPr>
        <w:t>免税、减计收入及加计扣除优惠明细表</w:t>
      </w:r>
      <w:bookmarkEnd w:id="74"/>
    </w:p>
    <w:tbl>
      <w:tblPr>
        <w:tblStyle w:val="7"/>
        <w:tblW w:w="995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8118"/>
        <w:gridCol w:w="11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811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          目</w:t>
            </w:r>
          </w:p>
        </w:tc>
        <w:tc>
          <w:tcPr>
            <w:tcW w:w="118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金  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11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一、免税收入（2+3+</w:t>
            </w:r>
            <w:r>
              <w:rPr>
                <w:rFonts w:ascii="宋体" w:hAnsi="宋体" w:cs="宋体"/>
                <w:kern w:val="0"/>
                <w:sz w:val="20"/>
                <w:szCs w:val="20"/>
              </w:rPr>
              <w:t>6</w:t>
            </w:r>
            <w:r>
              <w:rPr>
                <w:rFonts w:hint="eastAsia" w:ascii="宋体" w:hAnsi="宋体" w:cs="宋体"/>
                <w:kern w:val="0"/>
                <w:sz w:val="20"/>
                <w:szCs w:val="20"/>
              </w:rPr>
              <w:t>+</w:t>
            </w:r>
            <w:r>
              <w:rPr>
                <w:rFonts w:ascii="宋体" w:hAnsi="宋体" w:cs="宋体"/>
                <w:kern w:val="0"/>
                <w:sz w:val="20"/>
                <w:szCs w:val="20"/>
              </w:rPr>
              <w:t>7+</w:t>
            </w:r>
            <w:r>
              <w:rPr>
                <w:rFonts w:hint="eastAsia" w:ascii="宋体" w:hAnsi="宋体" w:cs="宋体"/>
                <w:kern w:val="0"/>
                <w:sz w:val="20"/>
                <w:szCs w:val="20"/>
              </w:rPr>
              <w:t>…+16）</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118"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（一）国债利息收入免征企业所得税</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118"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（二）符合条件的居民企业之间的股息、红利等权益性投资收益免征企业所得税（填写A107011）</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118" w:type="dxa"/>
            <w:shd w:val="clear" w:color="000000" w:fill="FFFFFF"/>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其中：内地居民企业通过沪港通投资且连续持有H股满12个月取得的股息红利所得免征企业所得税（填写A107011）</w:t>
            </w:r>
          </w:p>
        </w:tc>
        <w:tc>
          <w:tcPr>
            <w:tcW w:w="1180" w:type="dxa"/>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118" w:type="dxa"/>
            <w:shd w:val="clear" w:color="000000" w:fill="FFFFFF"/>
            <w:vAlign w:val="center"/>
          </w:tcPr>
          <w:p>
            <w:pPr>
              <w:widowControl/>
              <w:ind w:firstLine="1400" w:firstLineChars="700"/>
              <w:jc w:val="left"/>
              <w:rPr>
                <w:rFonts w:ascii="宋体" w:hAnsi="宋体" w:cs="宋体"/>
                <w:kern w:val="0"/>
                <w:sz w:val="20"/>
                <w:szCs w:val="20"/>
              </w:rPr>
            </w:pPr>
            <w:r>
              <w:rPr>
                <w:rFonts w:hint="eastAsia" w:ascii="宋体" w:hAnsi="宋体" w:cs="宋体"/>
                <w:kern w:val="0"/>
                <w:sz w:val="20"/>
                <w:szCs w:val="20"/>
              </w:rPr>
              <w:t>内地居民企业通过深港通投资且连续持有H股满12个月取得的股息红利所得免征企业所得税（填写A107011）</w:t>
            </w:r>
          </w:p>
        </w:tc>
        <w:tc>
          <w:tcPr>
            <w:tcW w:w="1180" w:type="dxa"/>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118"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（三）符合条件的非营利组织的收入免征企业所得税</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8118" w:type="dxa"/>
            <w:shd w:val="clear" w:color="000000" w:fill="FFFFFF"/>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（四）符合条件的非营利组织（科技企业孵化器）的收入免征企业所得税</w:t>
            </w:r>
          </w:p>
        </w:tc>
        <w:tc>
          <w:tcPr>
            <w:tcW w:w="1180" w:type="dxa"/>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118"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（五）符合条件的非营利组织（国家大学科技园）的收入免征企业所得税</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8118" w:type="dxa"/>
            <w:shd w:val="clear" w:color="000000" w:fill="FFFFFF"/>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（六）中国清洁发展机制基金取得的收入免征企业所得税</w:t>
            </w:r>
          </w:p>
        </w:tc>
        <w:tc>
          <w:tcPr>
            <w:tcW w:w="1180" w:type="dxa"/>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8118"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（七）投资者从证券投资基金分配中取得的收入免征企业所得税</w:t>
            </w:r>
          </w:p>
        </w:tc>
        <w:tc>
          <w:tcPr>
            <w:tcW w:w="1180" w:type="dxa"/>
            <w:shd w:val="clear" w:color="auto" w:fill="auto"/>
            <w:vAlign w:val="center"/>
          </w:tcPr>
          <w:p>
            <w:pPr>
              <w:widowControl/>
              <w:jc w:val="right"/>
              <w:rPr>
                <w:rFonts w:ascii="宋体" w:hAnsi="宋体" w:cs="宋体"/>
                <w:color w:val="FF0000"/>
                <w:kern w:val="0"/>
                <w:sz w:val="20"/>
                <w:szCs w:val="20"/>
              </w:rPr>
            </w:pPr>
            <w:r>
              <w:rPr>
                <w:rFonts w:hint="eastAsia" w:ascii="宋体" w:hAnsi="宋体" w:cs="宋体"/>
                <w:color w:val="FF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8118" w:type="dxa"/>
            <w:shd w:val="clear" w:color="000000" w:fill="FFFFFF"/>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（八）取得的地方政府债券利息收入免征企业所得税</w:t>
            </w:r>
          </w:p>
        </w:tc>
        <w:tc>
          <w:tcPr>
            <w:tcW w:w="1180" w:type="dxa"/>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8118" w:type="dxa"/>
            <w:shd w:val="clear" w:color="000000" w:fill="FFFFFF"/>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（九）中国保险保障基金有限责任公司取得的保险保障基金等收入免征企业所得税</w:t>
            </w:r>
          </w:p>
        </w:tc>
        <w:tc>
          <w:tcPr>
            <w:tcW w:w="1180" w:type="dxa"/>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8118" w:type="dxa"/>
            <w:shd w:val="clear" w:color="000000" w:fill="FFFFFF"/>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（十）中央电视台的广告费和有线电视费收入免征企业所得税</w:t>
            </w:r>
          </w:p>
        </w:tc>
        <w:tc>
          <w:tcPr>
            <w:tcW w:w="1180" w:type="dxa"/>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8118" w:type="dxa"/>
            <w:shd w:val="clear" w:color="000000" w:fill="FFFFFF"/>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（十一）中国奥委会取得北京冬奥组委支付的收入免征企业所得税</w:t>
            </w:r>
          </w:p>
        </w:tc>
        <w:tc>
          <w:tcPr>
            <w:tcW w:w="1180" w:type="dxa"/>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8118" w:type="dxa"/>
            <w:shd w:val="clear" w:color="000000" w:fill="FFFFFF"/>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（十二）中国残奥委会取得北京冬奥组委分期支付的收入免征企业所得税</w:t>
            </w:r>
          </w:p>
        </w:tc>
        <w:tc>
          <w:tcPr>
            <w:tcW w:w="1180" w:type="dxa"/>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8118" w:type="dxa"/>
            <w:shd w:val="clear" w:color="000000" w:fill="FFFFFF"/>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（十三）其他</w:t>
            </w:r>
          </w:p>
        </w:tc>
        <w:tc>
          <w:tcPr>
            <w:tcW w:w="1180" w:type="dxa"/>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811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二、减计收入（18+19+23+24）</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8118"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（一）综合利用资源生产产品取得的收入在计算应纳税所得额时减计收入</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8118"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（二）金融、保险等机构取得的涉农利息、保费减计收入（20+21+22）</w:t>
            </w:r>
          </w:p>
        </w:tc>
        <w:tc>
          <w:tcPr>
            <w:tcW w:w="1180" w:type="dxa"/>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8118" w:type="dxa"/>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1.金融机构取得的涉农贷款利息收入在计算应纳税所得额时减计收入</w:t>
            </w:r>
          </w:p>
        </w:tc>
        <w:tc>
          <w:tcPr>
            <w:tcW w:w="1180" w:type="dxa"/>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8118" w:type="dxa"/>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2.保险机构取得的涉农保费收入在计算应纳税所得额时减计收入</w:t>
            </w:r>
          </w:p>
        </w:tc>
        <w:tc>
          <w:tcPr>
            <w:tcW w:w="1180" w:type="dxa"/>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8118" w:type="dxa"/>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3.小额贷款公司取得的农户小额贷款利息收入在计算应纳税所得额时减计收入</w:t>
            </w:r>
          </w:p>
        </w:tc>
        <w:tc>
          <w:tcPr>
            <w:tcW w:w="1180" w:type="dxa"/>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8118"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（三）取得铁路债券利息收入减半征收企业所得税</w:t>
            </w:r>
          </w:p>
        </w:tc>
        <w:tc>
          <w:tcPr>
            <w:tcW w:w="1180" w:type="dxa"/>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8118"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（四）其他</w:t>
            </w:r>
          </w:p>
        </w:tc>
        <w:tc>
          <w:tcPr>
            <w:tcW w:w="1180" w:type="dxa"/>
            <w:shd w:val="clear" w:color="auto" w:fill="auto"/>
            <w:vAlign w:val="bottom"/>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811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三、加计扣除（26+27+28+29+30）</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8118"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（一）开发新技术、新产品、新工艺发生的研究开发费用加计扣除（填写A107012）</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8118"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（二）科技型中小企业开发新技术、新产品、新工艺发生的研究开发费用加计扣除（填写A107012）</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8118"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（三）企业为获得创新性、创意性、突破性的产品进行创意设计活动而发生的相关费用加计扣除</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8118"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（四）安置残疾人员所支付的工资加计扣除</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8118"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（五）其他</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65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811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合计（1+17+25）</w:t>
            </w:r>
          </w:p>
        </w:tc>
        <w:tc>
          <w:tcPr>
            <w:tcW w:w="118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bl>
    <w:p>
      <w:pPr>
        <w:pStyle w:val="9"/>
        <w:sectPr>
          <w:pgSz w:w="11906" w:h="16838"/>
          <w:pgMar w:top="1985" w:right="1418" w:bottom="1928" w:left="1418" w:header="851" w:footer="992" w:gutter="113"/>
          <w:cols w:space="425" w:num="1"/>
          <w:titlePg/>
          <w:docGrid w:linePitch="312" w:charSpace="0"/>
        </w:sectPr>
      </w:pPr>
    </w:p>
    <w:p>
      <w:pPr>
        <w:pStyle w:val="8"/>
        <w:spacing w:before="240" w:after="360"/>
        <w:rPr>
          <w:color w:val="000000"/>
        </w:rPr>
      </w:pPr>
      <w:bookmarkStart w:id="75" w:name="_Toc499456598"/>
      <w:r>
        <w:rPr>
          <w:rFonts w:hint="eastAsia"/>
          <w:color w:val="000000"/>
        </w:rPr>
        <w:t>A107010</w:t>
      </w:r>
      <w:r>
        <w:rPr>
          <w:color w:val="000000"/>
        </w:rPr>
        <w:tab/>
      </w:r>
      <w:r>
        <w:rPr>
          <w:rFonts w:hint="eastAsia"/>
          <w:color w:val="000000"/>
        </w:rPr>
        <w:t>《免税、减计收入及加计扣除优惠明细表》填报说明</w:t>
      </w:r>
      <w:bookmarkEnd w:id="73"/>
      <w:bookmarkEnd w:id="75"/>
    </w:p>
    <w:p>
      <w:pPr>
        <w:pStyle w:val="9"/>
        <w:rPr>
          <w:color w:val="000000"/>
        </w:rPr>
      </w:pPr>
      <w:r>
        <w:rPr>
          <w:rFonts w:hint="eastAsia"/>
          <w:color w:val="000000"/>
        </w:rPr>
        <w:t>本表适用于享受免税收入、减计收入和加计扣除优惠的纳税人填报。纳税人根据税法及相关税收政策规定，填报本年发生的免税收入、减计收入和加计扣除优惠情况。</w:t>
      </w:r>
    </w:p>
    <w:p>
      <w:pPr>
        <w:pStyle w:val="11"/>
        <w:ind w:firstLine="482"/>
      </w:pPr>
      <w:r>
        <w:rPr>
          <w:rFonts w:hint="eastAsia"/>
        </w:rPr>
        <w:t>一、有关项目填报说明</w:t>
      </w:r>
    </w:p>
    <w:p>
      <w:pPr>
        <w:pStyle w:val="9"/>
        <w:rPr>
          <w:color w:val="000000"/>
        </w:rPr>
      </w:pPr>
      <w:r>
        <w:rPr>
          <w:rFonts w:hint="eastAsia"/>
          <w:color w:val="000000"/>
        </w:rPr>
        <w:t>1.第1行“一、免税收入”：填报第2+3+</w:t>
      </w:r>
      <w:r>
        <w:rPr>
          <w:color w:val="000000"/>
        </w:rPr>
        <w:t>6</w:t>
      </w:r>
      <w:r>
        <w:rPr>
          <w:rFonts w:hint="eastAsia"/>
          <w:color w:val="000000"/>
        </w:rPr>
        <w:t>+</w:t>
      </w:r>
      <w:r>
        <w:rPr>
          <w:color w:val="000000"/>
        </w:rPr>
        <w:t>7</w:t>
      </w:r>
      <w:r>
        <w:rPr>
          <w:rFonts w:hint="eastAsia"/>
          <w:color w:val="000000"/>
        </w:rPr>
        <w:t>…+16行的合计金额。</w:t>
      </w:r>
    </w:p>
    <w:p>
      <w:pPr>
        <w:pStyle w:val="9"/>
        <w:rPr>
          <w:color w:val="000000"/>
        </w:rPr>
      </w:pPr>
      <w:r>
        <w:rPr>
          <w:rFonts w:hint="eastAsia"/>
          <w:color w:val="000000"/>
        </w:rPr>
        <w:t>2.第2行“（一）国债利息收入免征企业所得税”：填报纳税人根据《国家税务总局关于企业国债投资业务企业所得税处理问题的公告》（国家税务总局公告2011年第36号）等相关税收政策规定的，持有国务院财政部门发行的国债取得的利息收入。</w:t>
      </w:r>
    </w:p>
    <w:p>
      <w:pPr>
        <w:pStyle w:val="9"/>
        <w:rPr>
          <w:color w:val="000000"/>
        </w:rPr>
      </w:pPr>
      <w:r>
        <w:rPr>
          <w:rFonts w:hint="eastAsia"/>
          <w:color w:val="000000"/>
        </w:rPr>
        <w:t>3.第3行“（二）符合条件的居民企业之间的股息、红利等权益性投资收益免征企业所得税”：填报《符合条件的居民企业之间的股息、红利等权益性投资收益明细表》（A107011）第8行第1</w:t>
      </w:r>
      <w:r>
        <w:rPr>
          <w:color w:val="000000"/>
        </w:rPr>
        <w:t>7</w:t>
      </w:r>
      <w:r>
        <w:rPr>
          <w:rFonts w:hint="eastAsia"/>
          <w:color w:val="000000"/>
        </w:rPr>
        <w:t>列金额。</w:t>
      </w:r>
    </w:p>
    <w:p>
      <w:pPr>
        <w:pStyle w:val="9"/>
        <w:rPr>
          <w:color w:val="000000"/>
        </w:rPr>
      </w:pPr>
      <w:r>
        <w:rPr>
          <w:rFonts w:hint="eastAsia"/>
          <w:color w:val="000000"/>
        </w:rPr>
        <w:t>4.第4行“其中：内地居民企业通过沪港通投资且连续持有H股满12个月取得的股息红利所得免征企业所得税”：填报根据《财政部 国家税务总局 证监会关于沪港股票市场交易互联互通机制试点有关税收政策的通知》（财税〔2014〕81号）等相关税收政策规定的，内地居民企业连续持有H股满12个月取得的股息红利所得。本行＝表A107011第9行第17列。</w:t>
      </w:r>
    </w:p>
    <w:p>
      <w:pPr>
        <w:pStyle w:val="9"/>
        <w:rPr>
          <w:color w:val="000000"/>
        </w:rPr>
      </w:pPr>
      <w:r>
        <w:rPr>
          <w:rFonts w:hint="eastAsia"/>
          <w:color w:val="000000"/>
        </w:rPr>
        <w:t>5.第5行“内地居民企业通过深港通投资且连续持有H股满12个月取得的股息红利所得免征企业所得税”：填报根据《财政部 国家税务总局 证监会关于深港股票市场交易互联互通机制试点有关税收政策的通知》（财税〔2016〕127号）等相关税收政策规定的，内地居民企业连续持有H股满12个月取得的股息红利所得。本行＝表A107011第10行第17列。</w:t>
      </w:r>
    </w:p>
    <w:p>
      <w:pPr>
        <w:pStyle w:val="9"/>
        <w:rPr>
          <w:color w:val="000000"/>
        </w:rPr>
      </w:pPr>
      <w:r>
        <w:rPr>
          <w:rFonts w:hint="eastAsia"/>
          <w:color w:val="000000"/>
        </w:rPr>
        <w:t>6.第6行“（三）符合条件的非营利组织的收入免征企业所得税”：填报纳税人根据《财政部 国家税务总局关于非营利组织企业所得税免税收入问题的通知》（财税〔2009〕122号）、《财政部 国家税务总局关于非营利组织免税资格认定管理有关问题的通知》（财税〔2014〕13号）等相关税收政策规定的，同时符合条件并依法履行登记手续的非营利组织,取得的捐赠收入等免税收入，不包括从事营利性活动所取得的收入。</w:t>
      </w:r>
    </w:p>
    <w:p>
      <w:pPr>
        <w:pStyle w:val="9"/>
        <w:rPr>
          <w:color w:val="000000"/>
        </w:rPr>
      </w:pPr>
      <w:r>
        <w:rPr>
          <w:rFonts w:hint="eastAsia"/>
          <w:color w:val="000000"/>
        </w:rPr>
        <w:t>7.第7行“（四）符合条件的非营利组织（科技企业孵化器）的收入免征企业所得税”:填报根据《中华人民共和国企业所得税法》《中华人民共和国企业所得税法实施条例》《财政部 国家税务总局关于非营利组织企业所得税免税收入问题的通知》（财税〔2009〕122号）、《财政部 国家税务总局关于非营利组织免税资格认定管理有关问题的通知》（财税〔2014〕13号）及《财政部 国家税务总局关于科技企业孵化器税收政策的通知》（财税〔2016〕89号）等相关税收政策规定的，符合非营利组织条件的科技企业孵化器的收入。</w:t>
      </w:r>
    </w:p>
    <w:p>
      <w:pPr>
        <w:pStyle w:val="9"/>
        <w:rPr>
          <w:color w:val="000000"/>
        </w:rPr>
      </w:pPr>
      <w:r>
        <w:rPr>
          <w:rFonts w:hint="eastAsia"/>
          <w:color w:val="000000"/>
        </w:rPr>
        <w:t>8.第8行“（五）符合条件的非营利组织（国家大学科技园）的收入免征企业所得税”:填报根据《中华人民共和国企业所得税法》《中华人民共和国企业所得税法实施条例》《财政部 国家税务总局关于非营利组织企业所得税免税收入问题的通知》（财税〔2009〕122号）、《财政部 国家税务总局关于非营利组织免税资格认定管理有关问题的通知》（财税〔2014〕13号）及《财政部 国家税务总局关于国家大学科技园税收政策的通知》（财税〔2016〕98号）等相关税收政策规定的，符合非营利组织条件的科技园的收入。</w:t>
      </w:r>
    </w:p>
    <w:p>
      <w:pPr>
        <w:pStyle w:val="9"/>
      </w:pPr>
      <w:r>
        <w:rPr>
          <w:rFonts w:hint="eastAsia"/>
        </w:rPr>
        <w:t>9.第9行“（六）中国清洁发展机制基金取得的收入</w:t>
      </w:r>
      <w:r>
        <w:rPr>
          <w:rFonts w:hint="eastAsia"/>
          <w:color w:val="000000"/>
        </w:rPr>
        <w:t>免征企业所得税</w:t>
      </w:r>
      <w:r>
        <w:rPr>
          <w:rFonts w:hint="eastAsia"/>
        </w:rPr>
        <w:t>”：填报纳税人根据《财政部 国家税务总局关于中国清洁发展机制基金及清洁发展机制项目实施企业有关企业所得税政策问题的通知》（财税〔2009〕30号）等相关税收政策规定的，中国清洁发展机制基金取得的CDM项目温室气体减排量转让收入上缴国家的部分，国际金融组织赠款收入，基金资金的存款利息收入、购买国债的利息收入，国内外机构、组织和个人的捐赠收入。</w:t>
      </w:r>
    </w:p>
    <w:p>
      <w:pPr>
        <w:pStyle w:val="9"/>
      </w:pPr>
      <w:r>
        <w:rPr>
          <w:rFonts w:hint="eastAsia"/>
        </w:rPr>
        <w:t>10.第10行“（七）投资者从证券投资基金分配中取得的收入</w:t>
      </w:r>
      <w:r>
        <w:rPr>
          <w:rFonts w:hint="eastAsia"/>
          <w:color w:val="000000"/>
        </w:rPr>
        <w:t>免征企业所得税</w:t>
      </w:r>
      <w:r>
        <w:rPr>
          <w:rFonts w:hint="eastAsia"/>
        </w:rPr>
        <w:t>”：填报纳税人根据《财政部 国家税务总局关于企业所得税若干优惠政策的通知》（财税〔2008〕1号）第二条第（二）项等相关税收政策规定的，投资者从证券投资基金分配中取得的收入。</w:t>
      </w:r>
    </w:p>
    <w:p>
      <w:pPr>
        <w:pStyle w:val="9"/>
      </w:pPr>
      <w:r>
        <w:rPr>
          <w:rFonts w:hint="eastAsia"/>
        </w:rPr>
        <w:t>11.第11行“（八）取得的地方政府债券利息收入</w:t>
      </w:r>
      <w:r>
        <w:rPr>
          <w:rFonts w:hint="eastAsia"/>
          <w:color w:val="000000"/>
        </w:rPr>
        <w:t>免征企业所得税</w:t>
      </w:r>
      <w:r>
        <w:rPr>
          <w:rFonts w:hint="eastAsia"/>
        </w:rPr>
        <w:t>”：填报纳税人根据《财政部 国家税务总局关于地方政府债券利息所得免征所得税问题的通知》（财税〔2011〕76号）、《财政部 国家税务总局关于地方政府债券利息免征所得税问题的通知》（财税〔2013〕5号）等相关税收政策规定的，取得的2009年、2010年和2011年发行的地方政府债券利息所得，2012年及以后年度发行的地方政府债券利息收入。</w:t>
      </w:r>
    </w:p>
    <w:p>
      <w:pPr>
        <w:pStyle w:val="9"/>
        <w:rPr>
          <w:color w:val="000000"/>
        </w:rPr>
      </w:pPr>
      <w:r>
        <w:rPr>
          <w:rFonts w:hint="eastAsia"/>
          <w:color w:val="000000"/>
        </w:rPr>
        <w:t>12.第12行“（九）中国保险保障基金有限责任公司取得的保险保障基金等收入免征企业所得税”：填报中国保险保障基金有限责任公司根据《财政部 国家税务总局关于保险保障基金有关税收政策问题的通知》（财税〔2016〕10号）等相关税收政策规定的，根据《保险保障基金管理办法》取得的境内保险公司依法缴纳的保险保障基金；依法从撤销或破产保险公司清算财产中获得的受偿收入和向有关责任方追偿所得，以及依法从保险公司风险处置中获得的财产转让所得；捐赠所得；银行存款利息收入；购买政府债券、中央银行、中央企业和中央级金融机构发行债券的利息收入；国务院批准的其他资金运用取得的收入。</w:t>
      </w:r>
    </w:p>
    <w:p>
      <w:pPr>
        <w:pStyle w:val="9"/>
        <w:rPr>
          <w:color w:val="000000"/>
        </w:rPr>
      </w:pPr>
      <w:r>
        <w:rPr>
          <w:rFonts w:hint="eastAsia"/>
          <w:color w:val="000000"/>
        </w:rPr>
        <w:t>13.第13行“（十）中央电视台的广告费和有线电视费收入免征企业所得税”：填报按照《财政部 国家税务总局关于中央电视台广告费和有线电视费收入企业所得税政策问题的通知》（财税〔2016〕80号）等相关税收政策规定的，中央电视台的广告费和有线电视费收入。</w:t>
      </w:r>
    </w:p>
    <w:p>
      <w:pPr>
        <w:pStyle w:val="9"/>
        <w:rPr>
          <w:color w:val="000000"/>
        </w:rPr>
      </w:pPr>
      <w:r>
        <w:rPr>
          <w:rFonts w:hint="eastAsia"/>
          <w:color w:val="000000"/>
        </w:rPr>
        <w:t>14.第14行“（十一）中国奥委会取得北京冬奥组委支付的收入免征企业所得税”：填报按照《财政部 税务总局 海关总署关于北京2022年冬奥会和冬残奥会税收政策的通知》（财税〔2017〕60号）等相关税收政策规定的，对按中国奥委会、主办城市签订的《联合市场开发计划协议》和中国奥委会、主办城市、国际奥委会签订的《主办城市合同》规定，中国奥委会取得的由北京冬奥组委分期支付的收入、按比例支付的盈余分成收入。</w:t>
      </w:r>
    </w:p>
    <w:p>
      <w:pPr>
        <w:pStyle w:val="9"/>
        <w:rPr>
          <w:color w:val="000000"/>
        </w:rPr>
      </w:pPr>
      <w:r>
        <w:rPr>
          <w:rFonts w:hint="eastAsia"/>
          <w:color w:val="000000"/>
        </w:rPr>
        <w:t>15.第15行“（十二）中国残奥委会取得北京冬奥组委分期支付的收入免征企业所得税”：填报按照《财政部 税务总局 海关总署关于北京2022年冬奥会和冬残奥会税收政策的通知》（财税〔2017〕60号）等相关税收政策规定的，中国残奥委会根据《联合市场开发计划协议》取得的由北京冬奥组委分期支付的收入。</w:t>
      </w:r>
    </w:p>
    <w:p>
      <w:pPr>
        <w:pStyle w:val="9"/>
        <w:rPr>
          <w:color w:val="000000"/>
        </w:rPr>
      </w:pPr>
      <w:r>
        <w:rPr>
          <w:rFonts w:hint="eastAsia"/>
          <w:color w:val="000000"/>
        </w:rPr>
        <w:t>16.第16行“（十三）其他”：填报纳税人享受的其他减免税项目名称、减免税代码及免税收入金额。</w:t>
      </w:r>
    </w:p>
    <w:p>
      <w:pPr>
        <w:pStyle w:val="9"/>
        <w:rPr>
          <w:color w:val="000000"/>
        </w:rPr>
      </w:pPr>
      <w:r>
        <w:rPr>
          <w:rFonts w:hint="eastAsia"/>
          <w:color w:val="000000"/>
        </w:rPr>
        <w:t>17.第17行“二、减计收入”：填报第18+19+23+24行的合计金额。</w:t>
      </w:r>
    </w:p>
    <w:p>
      <w:pPr>
        <w:pStyle w:val="9"/>
        <w:rPr>
          <w:color w:val="000000"/>
        </w:rPr>
      </w:pPr>
      <w:r>
        <w:rPr>
          <w:rFonts w:hint="eastAsia"/>
          <w:color w:val="000000"/>
        </w:rPr>
        <w:t>18.第18行“（一）综合利用资源生产产品取得的收入在计算应纳税所得额时减计收入”：填报纳税人综合利用资源生产产品取得的收入总额乘以10%的金额。</w:t>
      </w:r>
    </w:p>
    <w:p>
      <w:pPr>
        <w:pStyle w:val="9"/>
        <w:rPr>
          <w:color w:val="000000"/>
        </w:rPr>
      </w:pPr>
      <w:r>
        <w:rPr>
          <w:rFonts w:hint="eastAsia"/>
          <w:color w:val="000000"/>
        </w:rPr>
        <w:t>19.第19行“（二）金融、保险等机构取得的涉农利息、保费减计收入”：填报金融、保险等机构取得的涉农利息、保费收入减计收入的金额。本行填报第20+21+22行的合计金额。</w:t>
      </w:r>
    </w:p>
    <w:p>
      <w:pPr>
        <w:pStyle w:val="9"/>
        <w:rPr>
          <w:color w:val="000000"/>
        </w:rPr>
      </w:pPr>
      <w:r>
        <w:rPr>
          <w:rFonts w:hint="eastAsia"/>
          <w:color w:val="000000"/>
        </w:rPr>
        <w:t>20.第20行“1.金融机构取得的涉农贷款利息收入在计算应纳税所得额时减计收入”：填报纳税人取得农户小额贷款利息收入总额乘以10%的金额。</w:t>
      </w:r>
    </w:p>
    <w:p>
      <w:pPr>
        <w:pStyle w:val="9"/>
        <w:rPr>
          <w:color w:val="000000"/>
        </w:rPr>
      </w:pPr>
      <w:r>
        <w:rPr>
          <w:rFonts w:hint="eastAsia"/>
          <w:color w:val="000000"/>
        </w:rPr>
        <w:t>21.第21行“2.</w:t>
      </w:r>
      <w:r>
        <w:rPr>
          <w:rFonts w:hint="eastAsia" w:cs="宋体"/>
          <w:kern w:val="0"/>
          <w:sz w:val="20"/>
          <w:szCs w:val="20"/>
        </w:rPr>
        <w:t xml:space="preserve"> </w:t>
      </w:r>
      <w:r>
        <w:rPr>
          <w:rFonts w:hint="eastAsia"/>
          <w:color w:val="000000"/>
        </w:rPr>
        <w:t>保险机构取得的涉农保费收入在计算应纳税所得额时减计收入”：填报保险公司为种植业、养殖业提供保险业务取得的保费收入总额乘以10%的金额。其中保费收入总额＝原保费收入+分包费收入-分出保费收入。</w:t>
      </w:r>
    </w:p>
    <w:p>
      <w:pPr>
        <w:pStyle w:val="9"/>
        <w:rPr>
          <w:color w:val="000000"/>
        </w:rPr>
      </w:pPr>
      <w:r>
        <w:rPr>
          <w:rFonts w:hint="eastAsia"/>
          <w:color w:val="000000"/>
        </w:rPr>
        <w:t>22.第22行“3.</w:t>
      </w:r>
      <w:r>
        <w:rPr>
          <w:rFonts w:hint="eastAsia" w:cs="宋体"/>
          <w:kern w:val="0"/>
          <w:sz w:val="20"/>
          <w:szCs w:val="20"/>
        </w:rPr>
        <w:t xml:space="preserve"> </w:t>
      </w:r>
      <w:r>
        <w:rPr>
          <w:rFonts w:hint="eastAsia"/>
          <w:color w:val="000000"/>
        </w:rPr>
        <w:t>小额贷款公司取得的农户小额贷款利息收入在计算应纳税所得额时减计收入”：填报按照《财政部 国家税务总局关于小额贷款公司有关税收政策的通知》（财税〔2017〕48号）等相关税收政策规定的，对经省级金融管理部门(金融办、局等)批准成立的小额贷款公司取得的农户小额贷款利息收入乘以10%的金额。</w:t>
      </w:r>
    </w:p>
    <w:p>
      <w:pPr>
        <w:pStyle w:val="9"/>
        <w:rPr>
          <w:color w:val="000000"/>
        </w:rPr>
      </w:pPr>
      <w:r>
        <w:rPr>
          <w:rFonts w:hint="eastAsia"/>
          <w:color w:val="000000"/>
        </w:rPr>
        <w:t>23.第23行“（三）取得铁路债券利息收入减半征收企业所得税”：填报纳税人根据《财政部 国家税务总局关于铁路建设债券利息收入企业所得税政策的通知》（财税〔2011〕99号）、《财政部 国家税务总局关于2014 2015年铁路建设债券利息收入企业所得税政策的通知》（财税〔2014〕2号）及《财政部 国家税务总局关于铁路债券利息收入所得税政策问题的通知》(财税〔2016〕30号)等相关税收政策规定的，对企业持有中国铁路建设铁路债券等企业债券取得的利息收入，减半征收企业所得税。本行填报政策规定减计50%收入的金额。</w:t>
      </w:r>
    </w:p>
    <w:p>
      <w:pPr>
        <w:pStyle w:val="9"/>
        <w:rPr>
          <w:color w:val="000000"/>
        </w:rPr>
      </w:pPr>
      <w:r>
        <w:rPr>
          <w:rFonts w:hint="eastAsia"/>
          <w:color w:val="000000"/>
        </w:rPr>
        <w:t>24.第24行“（四）其他”：填报纳税人享受的其他减免税项目名称、减免税代码及减计收入金额。</w:t>
      </w:r>
    </w:p>
    <w:p>
      <w:pPr>
        <w:pStyle w:val="9"/>
        <w:rPr>
          <w:color w:val="000000"/>
        </w:rPr>
      </w:pPr>
      <w:r>
        <w:rPr>
          <w:rFonts w:hint="eastAsia"/>
          <w:color w:val="000000"/>
        </w:rPr>
        <w:t>25.第25行“三、加计扣除”：填报第26+27+28+29+30行的合计金额。</w:t>
      </w:r>
    </w:p>
    <w:p>
      <w:pPr>
        <w:pStyle w:val="9"/>
        <w:rPr>
          <w:color w:val="000000"/>
        </w:rPr>
      </w:pPr>
      <w:r>
        <w:rPr>
          <w:rFonts w:hint="eastAsia"/>
          <w:color w:val="000000"/>
        </w:rPr>
        <w:t>26.第26行“（一）开发新技术、新产品、新工艺发生的研究开发费用加计扣除”：当《研发费加计扣除优惠明细表》（A107012）中“□一般企业 □科技型中小企业”选“一般企业”时，填报《研发费用加计扣除优惠明细表》（A107012）第50行金额。</w:t>
      </w:r>
    </w:p>
    <w:p>
      <w:pPr>
        <w:pStyle w:val="9"/>
        <w:rPr>
          <w:color w:val="000000"/>
        </w:rPr>
      </w:pPr>
      <w:r>
        <w:rPr>
          <w:rFonts w:hint="eastAsia"/>
          <w:color w:val="000000"/>
        </w:rPr>
        <w:t>27.第27行“（二）科技型中小企业开发新技术、新产品、新工艺发生的研究开发费用加计扣除”：当《研发费加计扣除优惠明细表》（A107012）中“□一般企业 □科技型中小企业”选“科技型中小企业”时，填报《研发费用加计扣除优惠明细表》（A107012）第50行金额。</w:t>
      </w:r>
    </w:p>
    <w:p>
      <w:pPr>
        <w:pStyle w:val="9"/>
        <w:rPr>
          <w:color w:val="000000"/>
        </w:rPr>
      </w:pPr>
      <w:r>
        <w:rPr>
          <w:rFonts w:hint="eastAsia"/>
          <w:color w:val="000000"/>
        </w:rPr>
        <w:t>28.第28行“（三）企业为获得创新性、创意性、突破性的产品进行创意设计活动而发生的相关费用加计扣除”：填报纳税人根据《财政部 国家税务总局 科技部关于完善研究开发费用税前加计扣除政策的通知》（财税〔2015〕119号）第二条第四项规定，为获得创新性、创意性、突破性的产品进行创意设计活动而发生的相关费用按照规定进行税前加计扣除的金额。</w:t>
      </w:r>
    </w:p>
    <w:p>
      <w:pPr>
        <w:pStyle w:val="9"/>
        <w:rPr>
          <w:color w:val="000000"/>
        </w:rPr>
      </w:pPr>
      <w:r>
        <w:rPr>
          <w:rFonts w:hint="eastAsia"/>
          <w:color w:val="000000"/>
        </w:rPr>
        <w:t>29.第29行“（四）安置残疾人员所支付的工资加计扣除”：填报纳税人根据《财政部 国家税务总局关于安置残疾人员就业有关企业所得税优惠政策问题的通知》（财税〔2009〕70号）等相关税收政策规定的，安置残疾人员的，在支付给残疾职工工资据实扣除的基础上，按照支付给残疾职工工资的100%加计扣除的金额。</w:t>
      </w:r>
    </w:p>
    <w:p>
      <w:pPr>
        <w:pStyle w:val="9"/>
        <w:rPr>
          <w:color w:val="000000"/>
        </w:rPr>
      </w:pPr>
      <w:r>
        <w:rPr>
          <w:rFonts w:hint="eastAsia"/>
          <w:color w:val="000000"/>
        </w:rPr>
        <w:t>30.第30行“（五）其他”：填报纳税人享受的其他加计扣除项目名称、减免税代码及加计扣除的金额。</w:t>
      </w:r>
    </w:p>
    <w:p>
      <w:pPr>
        <w:pStyle w:val="9"/>
        <w:rPr>
          <w:color w:val="000000"/>
        </w:rPr>
      </w:pPr>
      <w:r>
        <w:rPr>
          <w:rFonts w:hint="eastAsia"/>
          <w:color w:val="000000"/>
        </w:rPr>
        <w:t>31.第31行“合计”：填报第1+17+25行的合计金额。</w:t>
      </w:r>
    </w:p>
    <w:p>
      <w:pPr>
        <w:pStyle w:val="11"/>
        <w:ind w:firstLine="482"/>
      </w:pPr>
      <w:r>
        <w:rPr>
          <w:rFonts w:hint="eastAsia"/>
        </w:rPr>
        <w:t>二、表内、表间关系</w:t>
      </w:r>
    </w:p>
    <w:p>
      <w:pPr>
        <w:pStyle w:val="12"/>
      </w:pPr>
      <w:r>
        <w:rPr>
          <w:rFonts w:hint="eastAsia"/>
        </w:rPr>
        <w:t>（一）表内关系</w:t>
      </w:r>
    </w:p>
    <w:p>
      <w:pPr>
        <w:pStyle w:val="9"/>
        <w:rPr>
          <w:color w:val="000000"/>
        </w:rPr>
      </w:pPr>
      <w:r>
        <w:rPr>
          <w:rFonts w:hint="eastAsia"/>
          <w:color w:val="000000"/>
        </w:rPr>
        <w:t>1.第1行＝第2+3+</w:t>
      </w:r>
      <w:r>
        <w:rPr>
          <w:color w:val="000000"/>
        </w:rPr>
        <w:t>6+7+</w:t>
      </w:r>
      <w:r>
        <w:rPr>
          <w:rFonts w:hint="eastAsia"/>
          <w:color w:val="000000"/>
        </w:rPr>
        <w:t>…+16行。</w:t>
      </w:r>
    </w:p>
    <w:p>
      <w:pPr>
        <w:pStyle w:val="9"/>
        <w:rPr>
          <w:color w:val="000000"/>
        </w:rPr>
      </w:pPr>
      <w:r>
        <w:rPr>
          <w:rFonts w:hint="eastAsia"/>
          <w:color w:val="000000"/>
        </w:rPr>
        <w:t>2.第17行＝第</w:t>
      </w:r>
      <w:r>
        <w:rPr>
          <w:color w:val="000000"/>
        </w:rPr>
        <w:t>18+19+23+24</w:t>
      </w:r>
      <w:r>
        <w:rPr>
          <w:rFonts w:hint="eastAsia"/>
          <w:color w:val="000000"/>
        </w:rPr>
        <w:t>行。</w:t>
      </w:r>
    </w:p>
    <w:p>
      <w:pPr>
        <w:pStyle w:val="9"/>
        <w:rPr>
          <w:color w:val="000000"/>
        </w:rPr>
      </w:pPr>
      <w:r>
        <w:rPr>
          <w:rFonts w:hint="eastAsia"/>
          <w:color w:val="000000"/>
        </w:rPr>
        <w:t>3.第19行＝第</w:t>
      </w:r>
      <w:r>
        <w:rPr>
          <w:color w:val="000000"/>
        </w:rPr>
        <w:t>20+21+22</w:t>
      </w:r>
      <w:r>
        <w:rPr>
          <w:rFonts w:hint="eastAsia"/>
          <w:color w:val="000000"/>
        </w:rPr>
        <w:t>行。</w:t>
      </w:r>
    </w:p>
    <w:p>
      <w:pPr>
        <w:pStyle w:val="9"/>
        <w:rPr>
          <w:color w:val="000000"/>
        </w:rPr>
      </w:pPr>
      <w:r>
        <w:rPr>
          <w:rFonts w:hint="eastAsia"/>
          <w:color w:val="000000"/>
        </w:rPr>
        <w:t>4.第25行＝第</w:t>
      </w:r>
      <w:r>
        <w:rPr>
          <w:color w:val="000000"/>
        </w:rPr>
        <w:t>26+27+28+29+30</w:t>
      </w:r>
      <w:r>
        <w:rPr>
          <w:rFonts w:hint="eastAsia"/>
          <w:color w:val="000000"/>
        </w:rPr>
        <w:t>行。</w:t>
      </w:r>
    </w:p>
    <w:p>
      <w:pPr>
        <w:pStyle w:val="9"/>
        <w:rPr>
          <w:color w:val="000000"/>
        </w:rPr>
      </w:pPr>
      <w:r>
        <w:rPr>
          <w:rFonts w:hint="eastAsia"/>
          <w:color w:val="000000"/>
        </w:rPr>
        <w:t>5.第31行＝第1+17+25行。</w:t>
      </w:r>
    </w:p>
    <w:p>
      <w:pPr>
        <w:pStyle w:val="12"/>
      </w:pPr>
      <w:r>
        <w:rPr>
          <w:rFonts w:hint="eastAsia"/>
        </w:rPr>
        <w:t>（二）表间关系</w:t>
      </w:r>
    </w:p>
    <w:p>
      <w:pPr>
        <w:pStyle w:val="9"/>
        <w:rPr>
          <w:color w:val="000000"/>
        </w:rPr>
      </w:pPr>
      <w:r>
        <w:rPr>
          <w:rFonts w:hint="eastAsia"/>
          <w:color w:val="000000"/>
        </w:rPr>
        <w:t>1.第31行＝表A100000第17行。</w:t>
      </w:r>
    </w:p>
    <w:p>
      <w:pPr>
        <w:pStyle w:val="9"/>
        <w:rPr>
          <w:color w:val="000000"/>
        </w:rPr>
      </w:pPr>
      <w:r>
        <w:rPr>
          <w:rFonts w:hint="eastAsia"/>
          <w:color w:val="000000"/>
        </w:rPr>
        <w:t>2.第3行＝表A107011第</w:t>
      </w:r>
      <w:r>
        <w:rPr>
          <w:color w:val="000000"/>
        </w:rPr>
        <w:t>8</w:t>
      </w:r>
      <w:r>
        <w:rPr>
          <w:rFonts w:hint="eastAsia"/>
          <w:color w:val="000000"/>
        </w:rPr>
        <w:t>行第1</w:t>
      </w:r>
      <w:r>
        <w:rPr>
          <w:color w:val="000000"/>
        </w:rPr>
        <w:t>7</w:t>
      </w:r>
      <w:r>
        <w:rPr>
          <w:rFonts w:hint="eastAsia"/>
          <w:color w:val="000000"/>
        </w:rPr>
        <w:t>列。</w:t>
      </w:r>
    </w:p>
    <w:p>
      <w:pPr>
        <w:pStyle w:val="9"/>
        <w:rPr>
          <w:color w:val="000000"/>
        </w:rPr>
      </w:pPr>
      <w:r>
        <w:rPr>
          <w:rFonts w:hint="eastAsia"/>
          <w:color w:val="000000"/>
        </w:rPr>
        <w:t>3.第</w:t>
      </w:r>
      <w:r>
        <w:rPr>
          <w:color w:val="000000"/>
        </w:rPr>
        <w:t>4</w:t>
      </w:r>
      <w:r>
        <w:rPr>
          <w:rFonts w:hint="eastAsia"/>
          <w:color w:val="000000"/>
        </w:rPr>
        <w:t>行＝表A107011第</w:t>
      </w:r>
      <w:r>
        <w:rPr>
          <w:color w:val="000000"/>
        </w:rPr>
        <w:t>9</w:t>
      </w:r>
      <w:r>
        <w:rPr>
          <w:rFonts w:hint="eastAsia"/>
          <w:color w:val="000000"/>
        </w:rPr>
        <w:t>行第1</w:t>
      </w:r>
      <w:r>
        <w:rPr>
          <w:color w:val="000000"/>
        </w:rPr>
        <w:t>7</w:t>
      </w:r>
      <w:r>
        <w:rPr>
          <w:rFonts w:hint="eastAsia"/>
          <w:color w:val="000000"/>
        </w:rPr>
        <w:t>列。</w:t>
      </w:r>
    </w:p>
    <w:p>
      <w:pPr>
        <w:pStyle w:val="9"/>
        <w:rPr>
          <w:color w:val="000000"/>
        </w:rPr>
      </w:pPr>
      <w:r>
        <w:rPr>
          <w:rFonts w:hint="eastAsia"/>
          <w:color w:val="000000"/>
        </w:rPr>
        <w:t>4.第</w:t>
      </w:r>
      <w:r>
        <w:rPr>
          <w:color w:val="000000"/>
        </w:rPr>
        <w:t>5</w:t>
      </w:r>
      <w:r>
        <w:rPr>
          <w:rFonts w:hint="eastAsia"/>
          <w:color w:val="000000"/>
        </w:rPr>
        <w:t>行＝表A107011第</w:t>
      </w:r>
      <w:r>
        <w:rPr>
          <w:color w:val="000000"/>
        </w:rPr>
        <w:t>10</w:t>
      </w:r>
      <w:r>
        <w:rPr>
          <w:rFonts w:hint="eastAsia"/>
          <w:color w:val="000000"/>
        </w:rPr>
        <w:t>行第1</w:t>
      </w:r>
      <w:r>
        <w:rPr>
          <w:color w:val="000000"/>
        </w:rPr>
        <w:t>7</w:t>
      </w:r>
      <w:r>
        <w:rPr>
          <w:rFonts w:hint="eastAsia"/>
          <w:color w:val="000000"/>
        </w:rPr>
        <w:t>列。</w:t>
      </w:r>
    </w:p>
    <w:p>
      <w:pPr>
        <w:pStyle w:val="9"/>
      </w:pPr>
      <w:r>
        <w:rPr>
          <w:rFonts w:hint="eastAsia"/>
        </w:rPr>
        <w:t>5.当《研发费加计扣除优惠明细表》（A107012）中“□一般企业 □科技型中小企业”选“一般企业”时，第26行＝表A107012第50行，第27行不得填报。</w:t>
      </w:r>
    </w:p>
    <w:p>
      <w:pPr>
        <w:pStyle w:val="9"/>
        <w:sectPr>
          <w:pgSz w:w="11906" w:h="16838"/>
          <w:pgMar w:top="1985" w:right="1418" w:bottom="1928" w:left="1418" w:header="851" w:footer="992" w:gutter="113"/>
          <w:cols w:space="425" w:num="1"/>
          <w:docGrid w:linePitch="312" w:charSpace="0"/>
        </w:sectPr>
      </w:pPr>
      <w:r>
        <w:rPr>
          <w:rFonts w:hint="eastAsia"/>
        </w:rPr>
        <w:t>6.当《研发费加计扣除优惠明细表》（A107012）中“□一般企业 □科技型中小企业”选“科技型中小企业”时，第27行＝表A107012第50行，第26行不得填报。</w:t>
      </w:r>
    </w:p>
    <w:p>
      <w:pPr>
        <w:pStyle w:val="13"/>
      </w:pPr>
      <w:bookmarkStart w:id="76" w:name="_Toc499456599"/>
      <w:bookmarkStart w:id="77" w:name="_Hlk499014810"/>
      <w:r>
        <w:rPr>
          <w:rFonts w:hint="eastAsia"/>
        </w:rPr>
        <w:t>A107011</w:t>
      </w:r>
      <w:r>
        <w:tab/>
      </w:r>
      <w:r>
        <w:rPr>
          <w:rFonts w:hint="eastAsia"/>
        </w:rPr>
        <w:t>符合条件的居民企业之间的股息、红利等权益性投资收益优惠明细表</w:t>
      </w:r>
      <w:bookmarkEnd w:id="76"/>
    </w:p>
    <w:tbl>
      <w:tblPr>
        <w:tblStyle w:val="7"/>
        <w:tblW w:w="1472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6"/>
        <w:gridCol w:w="703"/>
        <w:gridCol w:w="866"/>
        <w:gridCol w:w="627"/>
        <w:gridCol w:w="666"/>
        <w:gridCol w:w="627"/>
        <w:gridCol w:w="835"/>
        <w:gridCol w:w="1059"/>
        <w:gridCol w:w="11"/>
        <w:gridCol w:w="771"/>
        <w:gridCol w:w="1043"/>
        <w:gridCol w:w="863"/>
        <w:gridCol w:w="860"/>
        <w:gridCol w:w="666"/>
        <w:gridCol w:w="866"/>
        <w:gridCol w:w="1116"/>
        <w:gridCol w:w="1283"/>
        <w:gridCol w:w="741"/>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416"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703" w:type="dxa"/>
            <w:vMerge w:val="restart"/>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被投资企业</w:t>
            </w:r>
          </w:p>
        </w:tc>
        <w:tc>
          <w:tcPr>
            <w:tcW w:w="866" w:type="dxa"/>
            <w:vMerge w:val="restart"/>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被投资企业统一社会信用代码（纳税人识别号）</w:t>
            </w:r>
          </w:p>
        </w:tc>
        <w:tc>
          <w:tcPr>
            <w:tcW w:w="627" w:type="dxa"/>
            <w:vMerge w:val="restart"/>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投资性质</w:t>
            </w:r>
          </w:p>
        </w:tc>
        <w:tc>
          <w:tcPr>
            <w:tcW w:w="666" w:type="dxa"/>
            <w:vMerge w:val="restart"/>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投资成本</w:t>
            </w:r>
          </w:p>
        </w:tc>
        <w:tc>
          <w:tcPr>
            <w:tcW w:w="627" w:type="dxa"/>
            <w:vMerge w:val="restart"/>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投资比例</w:t>
            </w:r>
          </w:p>
        </w:tc>
        <w:tc>
          <w:tcPr>
            <w:tcW w:w="1905" w:type="dxa"/>
            <w:gridSpan w:val="3"/>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被投资企业利润分配确认金额</w:t>
            </w:r>
          </w:p>
        </w:tc>
        <w:tc>
          <w:tcPr>
            <w:tcW w:w="2677" w:type="dxa"/>
            <w:gridSpan w:val="3"/>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被投资企业清算确认金额</w:t>
            </w:r>
          </w:p>
        </w:tc>
        <w:tc>
          <w:tcPr>
            <w:tcW w:w="5532" w:type="dxa"/>
            <w:gridSpan w:val="6"/>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撤回或减少投资确认金额</w:t>
            </w:r>
          </w:p>
        </w:tc>
        <w:tc>
          <w:tcPr>
            <w:tcW w:w="708" w:type="dxa"/>
            <w:vMerge w:val="restart"/>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25" w:hRule="atLeast"/>
          <w:jc w:val="center"/>
        </w:trPr>
        <w:tc>
          <w:tcPr>
            <w:tcW w:w="416" w:type="dxa"/>
            <w:vMerge w:val="continue"/>
            <w:shd w:val="clear" w:color="auto" w:fill="auto"/>
            <w:vAlign w:val="center"/>
          </w:tcPr>
          <w:p>
            <w:pPr>
              <w:widowControl/>
              <w:jc w:val="left"/>
              <w:rPr>
                <w:rFonts w:ascii="宋体" w:hAnsi="宋体" w:cs="宋体"/>
                <w:kern w:val="0"/>
                <w:sz w:val="20"/>
                <w:szCs w:val="20"/>
              </w:rPr>
            </w:pPr>
          </w:p>
        </w:tc>
        <w:tc>
          <w:tcPr>
            <w:tcW w:w="703" w:type="dxa"/>
            <w:vMerge w:val="continue"/>
            <w:shd w:val="clear" w:color="auto" w:fill="auto"/>
            <w:vAlign w:val="center"/>
          </w:tcPr>
          <w:p>
            <w:pPr>
              <w:widowControl/>
              <w:ind w:left="-105" w:leftChars="-50" w:right="-105" w:rightChars="-50"/>
              <w:jc w:val="left"/>
              <w:rPr>
                <w:rFonts w:ascii="宋体" w:hAnsi="宋体" w:cs="宋体"/>
                <w:kern w:val="0"/>
                <w:sz w:val="20"/>
                <w:szCs w:val="20"/>
              </w:rPr>
            </w:pPr>
          </w:p>
        </w:tc>
        <w:tc>
          <w:tcPr>
            <w:tcW w:w="866" w:type="dxa"/>
            <w:vMerge w:val="continue"/>
            <w:shd w:val="clear" w:color="auto" w:fill="auto"/>
            <w:vAlign w:val="center"/>
          </w:tcPr>
          <w:p>
            <w:pPr>
              <w:widowControl/>
              <w:ind w:left="-105" w:leftChars="-50" w:right="-105" w:rightChars="-50"/>
              <w:jc w:val="left"/>
              <w:rPr>
                <w:rFonts w:ascii="宋体" w:hAnsi="宋体" w:cs="宋体"/>
                <w:kern w:val="0"/>
                <w:sz w:val="20"/>
                <w:szCs w:val="20"/>
              </w:rPr>
            </w:pPr>
          </w:p>
        </w:tc>
        <w:tc>
          <w:tcPr>
            <w:tcW w:w="627" w:type="dxa"/>
            <w:vMerge w:val="continue"/>
            <w:shd w:val="clear" w:color="auto" w:fill="auto"/>
            <w:vAlign w:val="center"/>
          </w:tcPr>
          <w:p>
            <w:pPr>
              <w:widowControl/>
              <w:ind w:left="-105" w:leftChars="-50" w:right="-105" w:rightChars="-50"/>
              <w:jc w:val="left"/>
              <w:rPr>
                <w:rFonts w:ascii="宋体" w:hAnsi="宋体" w:cs="宋体"/>
                <w:kern w:val="0"/>
                <w:sz w:val="20"/>
                <w:szCs w:val="20"/>
              </w:rPr>
            </w:pPr>
          </w:p>
        </w:tc>
        <w:tc>
          <w:tcPr>
            <w:tcW w:w="666" w:type="dxa"/>
            <w:vMerge w:val="continue"/>
            <w:shd w:val="clear" w:color="auto" w:fill="auto"/>
            <w:vAlign w:val="center"/>
          </w:tcPr>
          <w:p>
            <w:pPr>
              <w:widowControl/>
              <w:ind w:left="-105" w:leftChars="-50" w:right="-105" w:rightChars="-50"/>
              <w:jc w:val="left"/>
              <w:rPr>
                <w:rFonts w:ascii="宋体" w:hAnsi="宋体" w:cs="宋体"/>
                <w:kern w:val="0"/>
                <w:sz w:val="20"/>
                <w:szCs w:val="20"/>
              </w:rPr>
            </w:pPr>
          </w:p>
        </w:tc>
        <w:tc>
          <w:tcPr>
            <w:tcW w:w="627" w:type="dxa"/>
            <w:vMerge w:val="continue"/>
            <w:shd w:val="clear" w:color="auto" w:fill="auto"/>
            <w:vAlign w:val="center"/>
          </w:tcPr>
          <w:p>
            <w:pPr>
              <w:widowControl/>
              <w:ind w:left="-105" w:leftChars="-50" w:right="-105" w:rightChars="-50"/>
              <w:jc w:val="left"/>
              <w:rPr>
                <w:rFonts w:ascii="宋体" w:hAnsi="宋体" w:cs="宋体"/>
                <w:kern w:val="0"/>
                <w:sz w:val="20"/>
                <w:szCs w:val="20"/>
              </w:rPr>
            </w:pPr>
          </w:p>
        </w:tc>
        <w:tc>
          <w:tcPr>
            <w:tcW w:w="835"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被投资企业做出利润分配或转股决定时间</w:t>
            </w:r>
          </w:p>
        </w:tc>
        <w:tc>
          <w:tcPr>
            <w:tcW w:w="1059"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依决定归属于本公司的股息、红利等权益性投资收益金额</w:t>
            </w:r>
          </w:p>
        </w:tc>
        <w:tc>
          <w:tcPr>
            <w:tcW w:w="782" w:type="dxa"/>
            <w:gridSpan w:val="2"/>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分得的被投资企业清算剩余资产</w:t>
            </w:r>
          </w:p>
        </w:tc>
        <w:tc>
          <w:tcPr>
            <w:tcW w:w="1043"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被清算企业累计未分配利润和累计盈余公积应享有部分</w:t>
            </w:r>
          </w:p>
        </w:tc>
        <w:tc>
          <w:tcPr>
            <w:tcW w:w="863"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应确认的股息所得</w:t>
            </w:r>
          </w:p>
        </w:tc>
        <w:tc>
          <w:tcPr>
            <w:tcW w:w="860"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从被投资企业撤回或减少投资取得的资产</w:t>
            </w:r>
          </w:p>
        </w:tc>
        <w:tc>
          <w:tcPr>
            <w:tcW w:w="666"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减少投资比例</w:t>
            </w:r>
          </w:p>
        </w:tc>
        <w:tc>
          <w:tcPr>
            <w:tcW w:w="866"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收回初始投资成本</w:t>
            </w:r>
          </w:p>
        </w:tc>
        <w:tc>
          <w:tcPr>
            <w:tcW w:w="1116"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取得资产中超过收回初始投资成本部分</w:t>
            </w:r>
          </w:p>
        </w:tc>
        <w:tc>
          <w:tcPr>
            <w:tcW w:w="1283"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撤回或减少投资应享有被投资企业累计未分配利润和累计盈余公积</w:t>
            </w:r>
          </w:p>
        </w:tc>
        <w:tc>
          <w:tcPr>
            <w:tcW w:w="741"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应确认的股息所得</w:t>
            </w:r>
          </w:p>
        </w:tc>
        <w:tc>
          <w:tcPr>
            <w:tcW w:w="708" w:type="dxa"/>
            <w:vMerge w:val="continue"/>
            <w:vAlign w:val="center"/>
          </w:tcPr>
          <w:p>
            <w:pPr>
              <w:widowControl/>
              <w:ind w:left="-105" w:leftChars="-50" w:right="-105" w:rightChars="-50"/>
              <w:jc w:val="lef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jc w:val="center"/>
        </w:trPr>
        <w:tc>
          <w:tcPr>
            <w:tcW w:w="416" w:type="dxa"/>
            <w:vMerge w:val="continue"/>
            <w:shd w:val="clear" w:color="auto" w:fill="auto"/>
            <w:vAlign w:val="center"/>
          </w:tcPr>
          <w:p>
            <w:pPr>
              <w:widowControl/>
              <w:jc w:val="left"/>
              <w:rPr>
                <w:rFonts w:ascii="宋体" w:hAnsi="宋体" w:cs="宋体"/>
                <w:kern w:val="0"/>
                <w:sz w:val="20"/>
                <w:szCs w:val="20"/>
              </w:rPr>
            </w:pPr>
          </w:p>
        </w:tc>
        <w:tc>
          <w:tcPr>
            <w:tcW w:w="703"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w:t>
            </w:r>
          </w:p>
        </w:tc>
        <w:tc>
          <w:tcPr>
            <w:tcW w:w="866"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2</w:t>
            </w:r>
          </w:p>
        </w:tc>
        <w:tc>
          <w:tcPr>
            <w:tcW w:w="627"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3</w:t>
            </w:r>
          </w:p>
        </w:tc>
        <w:tc>
          <w:tcPr>
            <w:tcW w:w="666"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4</w:t>
            </w:r>
          </w:p>
        </w:tc>
        <w:tc>
          <w:tcPr>
            <w:tcW w:w="627"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5</w:t>
            </w:r>
          </w:p>
        </w:tc>
        <w:tc>
          <w:tcPr>
            <w:tcW w:w="835"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6</w:t>
            </w:r>
          </w:p>
        </w:tc>
        <w:tc>
          <w:tcPr>
            <w:tcW w:w="1059"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7</w:t>
            </w:r>
          </w:p>
        </w:tc>
        <w:tc>
          <w:tcPr>
            <w:tcW w:w="782" w:type="dxa"/>
            <w:gridSpan w:val="2"/>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8</w:t>
            </w:r>
          </w:p>
        </w:tc>
        <w:tc>
          <w:tcPr>
            <w:tcW w:w="1043"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9</w:t>
            </w:r>
          </w:p>
        </w:tc>
        <w:tc>
          <w:tcPr>
            <w:tcW w:w="863"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10(8与9孰小</w:t>
            </w:r>
            <w:r>
              <w:rPr>
                <w:rFonts w:ascii="宋体" w:hAnsi="宋体" w:cs="宋体"/>
                <w:kern w:val="0"/>
                <w:sz w:val="20"/>
                <w:szCs w:val="20"/>
              </w:rPr>
              <w:t>)</w:t>
            </w:r>
          </w:p>
        </w:tc>
        <w:tc>
          <w:tcPr>
            <w:tcW w:w="860"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11</w:t>
            </w:r>
          </w:p>
        </w:tc>
        <w:tc>
          <w:tcPr>
            <w:tcW w:w="666"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12</w:t>
            </w:r>
          </w:p>
        </w:tc>
        <w:tc>
          <w:tcPr>
            <w:tcW w:w="866"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13(4×12)</w:t>
            </w:r>
          </w:p>
        </w:tc>
        <w:tc>
          <w:tcPr>
            <w:tcW w:w="1116"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14(11-13)</w:t>
            </w:r>
          </w:p>
        </w:tc>
        <w:tc>
          <w:tcPr>
            <w:tcW w:w="1283"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15</w:t>
            </w:r>
          </w:p>
        </w:tc>
        <w:tc>
          <w:tcPr>
            <w:tcW w:w="741"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16(14与15孰小)</w:t>
            </w:r>
          </w:p>
        </w:tc>
        <w:tc>
          <w:tcPr>
            <w:tcW w:w="708"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17(7+</w:t>
            </w:r>
            <w:r>
              <w:rPr>
                <w:rFonts w:ascii="宋体" w:hAnsi="宋体" w:cs="宋体"/>
                <w:kern w:val="0"/>
                <w:sz w:val="20"/>
                <w:szCs w:val="20"/>
              </w:rPr>
              <w:br w:type="textWrapping"/>
            </w:r>
            <w:r>
              <w:rPr>
                <w:rFonts w:hint="eastAsia" w:ascii="宋体" w:hAnsi="宋体" w:cs="宋体"/>
                <w:kern w:val="0"/>
                <w:sz w:val="20"/>
                <w:szCs w:val="20"/>
              </w:rPr>
              <w:t>10+16)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w:t>
            </w:r>
          </w:p>
        </w:tc>
        <w:tc>
          <w:tcPr>
            <w:tcW w:w="70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2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2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35"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5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2" w:type="dxa"/>
            <w:gridSpan w:val="2"/>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4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1"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8"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w:t>
            </w:r>
          </w:p>
        </w:tc>
        <w:tc>
          <w:tcPr>
            <w:tcW w:w="70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2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2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35"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5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2" w:type="dxa"/>
            <w:gridSpan w:val="2"/>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4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1"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8"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w:t>
            </w:r>
          </w:p>
        </w:tc>
        <w:tc>
          <w:tcPr>
            <w:tcW w:w="70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2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2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35"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5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2" w:type="dxa"/>
            <w:gridSpan w:val="2"/>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4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1"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8"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4</w:t>
            </w:r>
          </w:p>
        </w:tc>
        <w:tc>
          <w:tcPr>
            <w:tcW w:w="70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2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2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35"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59" w:type="dxa"/>
            <w:shd w:val="clear" w:color="auto" w:fill="auto"/>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782" w:type="dxa"/>
            <w:gridSpan w:val="2"/>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4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1"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8"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5</w:t>
            </w:r>
          </w:p>
        </w:tc>
        <w:tc>
          <w:tcPr>
            <w:tcW w:w="70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2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2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35"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5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2" w:type="dxa"/>
            <w:gridSpan w:val="2"/>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4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1"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8"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6</w:t>
            </w:r>
          </w:p>
        </w:tc>
        <w:tc>
          <w:tcPr>
            <w:tcW w:w="70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2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27"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35"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5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2" w:type="dxa"/>
            <w:gridSpan w:val="2"/>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4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6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283"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41"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08"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7</w:t>
            </w:r>
          </w:p>
        </w:tc>
        <w:tc>
          <w:tcPr>
            <w:tcW w:w="703" w:type="dxa"/>
            <w:shd w:val="clear" w:color="auto" w:fill="auto"/>
            <w:vAlign w:val="center"/>
          </w:tcPr>
          <w:p>
            <w:pPr>
              <w:widowControl/>
              <w:jc w:val="right"/>
              <w:rPr>
                <w:rFonts w:ascii="宋体" w:hAnsi="宋体" w:cs="宋体"/>
                <w:kern w:val="0"/>
                <w:sz w:val="20"/>
                <w:szCs w:val="20"/>
              </w:rPr>
            </w:pPr>
          </w:p>
        </w:tc>
        <w:tc>
          <w:tcPr>
            <w:tcW w:w="866" w:type="dxa"/>
            <w:shd w:val="clear" w:color="auto" w:fill="auto"/>
            <w:vAlign w:val="center"/>
          </w:tcPr>
          <w:p>
            <w:pPr>
              <w:widowControl/>
              <w:jc w:val="right"/>
              <w:rPr>
                <w:rFonts w:ascii="宋体" w:hAnsi="宋体" w:cs="宋体"/>
                <w:kern w:val="0"/>
                <w:sz w:val="20"/>
                <w:szCs w:val="20"/>
              </w:rPr>
            </w:pPr>
          </w:p>
        </w:tc>
        <w:tc>
          <w:tcPr>
            <w:tcW w:w="627" w:type="dxa"/>
            <w:shd w:val="clear" w:color="auto" w:fill="auto"/>
            <w:vAlign w:val="center"/>
          </w:tcPr>
          <w:p>
            <w:pPr>
              <w:widowControl/>
              <w:jc w:val="right"/>
              <w:rPr>
                <w:rFonts w:ascii="宋体" w:hAnsi="宋体" w:cs="宋体"/>
                <w:kern w:val="0"/>
                <w:sz w:val="20"/>
                <w:szCs w:val="20"/>
              </w:rPr>
            </w:pPr>
          </w:p>
        </w:tc>
        <w:tc>
          <w:tcPr>
            <w:tcW w:w="666" w:type="dxa"/>
            <w:shd w:val="clear" w:color="auto" w:fill="auto"/>
            <w:vAlign w:val="center"/>
          </w:tcPr>
          <w:p>
            <w:pPr>
              <w:widowControl/>
              <w:jc w:val="right"/>
              <w:rPr>
                <w:rFonts w:ascii="宋体" w:hAnsi="宋体" w:cs="宋体"/>
                <w:kern w:val="0"/>
                <w:sz w:val="20"/>
                <w:szCs w:val="20"/>
              </w:rPr>
            </w:pPr>
          </w:p>
        </w:tc>
        <w:tc>
          <w:tcPr>
            <w:tcW w:w="627" w:type="dxa"/>
            <w:shd w:val="clear" w:color="auto" w:fill="auto"/>
            <w:vAlign w:val="center"/>
          </w:tcPr>
          <w:p>
            <w:pPr>
              <w:widowControl/>
              <w:jc w:val="right"/>
              <w:rPr>
                <w:rFonts w:ascii="宋体" w:hAnsi="宋体" w:cs="宋体"/>
                <w:kern w:val="0"/>
                <w:sz w:val="20"/>
                <w:szCs w:val="20"/>
              </w:rPr>
            </w:pPr>
          </w:p>
        </w:tc>
        <w:tc>
          <w:tcPr>
            <w:tcW w:w="835" w:type="dxa"/>
            <w:shd w:val="clear" w:color="auto" w:fill="auto"/>
            <w:vAlign w:val="center"/>
          </w:tcPr>
          <w:p>
            <w:pPr>
              <w:widowControl/>
              <w:jc w:val="right"/>
              <w:rPr>
                <w:rFonts w:ascii="宋体" w:hAnsi="宋体" w:cs="宋体"/>
                <w:kern w:val="0"/>
                <w:sz w:val="20"/>
                <w:szCs w:val="20"/>
              </w:rPr>
            </w:pPr>
          </w:p>
        </w:tc>
        <w:tc>
          <w:tcPr>
            <w:tcW w:w="1059" w:type="dxa"/>
            <w:shd w:val="clear" w:color="auto" w:fill="auto"/>
            <w:vAlign w:val="center"/>
          </w:tcPr>
          <w:p>
            <w:pPr>
              <w:widowControl/>
              <w:jc w:val="right"/>
              <w:rPr>
                <w:rFonts w:ascii="宋体" w:hAnsi="宋体" w:cs="宋体"/>
                <w:kern w:val="0"/>
                <w:sz w:val="20"/>
                <w:szCs w:val="20"/>
              </w:rPr>
            </w:pPr>
          </w:p>
        </w:tc>
        <w:tc>
          <w:tcPr>
            <w:tcW w:w="782" w:type="dxa"/>
            <w:gridSpan w:val="2"/>
            <w:shd w:val="clear" w:color="auto" w:fill="auto"/>
            <w:vAlign w:val="center"/>
          </w:tcPr>
          <w:p>
            <w:pPr>
              <w:widowControl/>
              <w:jc w:val="right"/>
              <w:rPr>
                <w:rFonts w:ascii="宋体" w:hAnsi="宋体" w:cs="宋体"/>
                <w:kern w:val="0"/>
                <w:sz w:val="20"/>
                <w:szCs w:val="20"/>
              </w:rPr>
            </w:pPr>
          </w:p>
        </w:tc>
        <w:tc>
          <w:tcPr>
            <w:tcW w:w="1043" w:type="dxa"/>
            <w:shd w:val="clear" w:color="auto" w:fill="auto"/>
            <w:vAlign w:val="center"/>
          </w:tcPr>
          <w:p>
            <w:pPr>
              <w:widowControl/>
              <w:jc w:val="right"/>
              <w:rPr>
                <w:rFonts w:ascii="宋体" w:hAnsi="宋体" w:cs="宋体"/>
                <w:kern w:val="0"/>
                <w:sz w:val="20"/>
                <w:szCs w:val="20"/>
              </w:rPr>
            </w:pPr>
          </w:p>
        </w:tc>
        <w:tc>
          <w:tcPr>
            <w:tcW w:w="863" w:type="dxa"/>
            <w:shd w:val="clear" w:color="auto" w:fill="auto"/>
            <w:vAlign w:val="center"/>
          </w:tcPr>
          <w:p>
            <w:pPr>
              <w:widowControl/>
              <w:jc w:val="right"/>
              <w:rPr>
                <w:rFonts w:ascii="宋体" w:hAnsi="宋体" w:cs="宋体"/>
                <w:kern w:val="0"/>
                <w:sz w:val="20"/>
                <w:szCs w:val="20"/>
              </w:rPr>
            </w:pPr>
          </w:p>
        </w:tc>
        <w:tc>
          <w:tcPr>
            <w:tcW w:w="860" w:type="dxa"/>
            <w:shd w:val="clear" w:color="auto" w:fill="auto"/>
            <w:vAlign w:val="center"/>
          </w:tcPr>
          <w:p>
            <w:pPr>
              <w:widowControl/>
              <w:jc w:val="right"/>
              <w:rPr>
                <w:rFonts w:ascii="宋体" w:hAnsi="宋体" w:cs="宋体"/>
                <w:kern w:val="0"/>
                <w:sz w:val="20"/>
                <w:szCs w:val="20"/>
              </w:rPr>
            </w:pPr>
          </w:p>
        </w:tc>
        <w:tc>
          <w:tcPr>
            <w:tcW w:w="666" w:type="dxa"/>
            <w:shd w:val="clear" w:color="auto" w:fill="auto"/>
            <w:vAlign w:val="center"/>
          </w:tcPr>
          <w:p>
            <w:pPr>
              <w:widowControl/>
              <w:jc w:val="right"/>
              <w:rPr>
                <w:rFonts w:ascii="宋体" w:hAnsi="宋体" w:cs="宋体"/>
                <w:kern w:val="0"/>
                <w:sz w:val="20"/>
                <w:szCs w:val="20"/>
              </w:rPr>
            </w:pPr>
          </w:p>
        </w:tc>
        <w:tc>
          <w:tcPr>
            <w:tcW w:w="866" w:type="dxa"/>
            <w:shd w:val="clear" w:color="auto" w:fill="auto"/>
            <w:vAlign w:val="center"/>
          </w:tcPr>
          <w:p>
            <w:pPr>
              <w:widowControl/>
              <w:jc w:val="right"/>
              <w:rPr>
                <w:rFonts w:ascii="宋体" w:hAnsi="宋体" w:cs="宋体"/>
                <w:kern w:val="0"/>
                <w:sz w:val="20"/>
                <w:szCs w:val="20"/>
              </w:rPr>
            </w:pPr>
          </w:p>
        </w:tc>
        <w:tc>
          <w:tcPr>
            <w:tcW w:w="1116" w:type="dxa"/>
            <w:shd w:val="clear" w:color="auto" w:fill="auto"/>
            <w:vAlign w:val="center"/>
          </w:tcPr>
          <w:p>
            <w:pPr>
              <w:widowControl/>
              <w:jc w:val="right"/>
              <w:rPr>
                <w:rFonts w:ascii="宋体" w:hAnsi="宋体" w:cs="宋体"/>
                <w:kern w:val="0"/>
                <w:sz w:val="20"/>
                <w:szCs w:val="20"/>
              </w:rPr>
            </w:pPr>
          </w:p>
        </w:tc>
        <w:tc>
          <w:tcPr>
            <w:tcW w:w="1283" w:type="dxa"/>
            <w:shd w:val="clear" w:color="auto" w:fill="auto"/>
            <w:vAlign w:val="center"/>
          </w:tcPr>
          <w:p>
            <w:pPr>
              <w:widowControl/>
              <w:jc w:val="right"/>
              <w:rPr>
                <w:rFonts w:ascii="宋体" w:hAnsi="宋体" w:cs="宋体"/>
                <w:kern w:val="0"/>
                <w:sz w:val="20"/>
                <w:szCs w:val="20"/>
              </w:rPr>
            </w:pPr>
          </w:p>
        </w:tc>
        <w:tc>
          <w:tcPr>
            <w:tcW w:w="741" w:type="dxa"/>
            <w:shd w:val="clear" w:color="auto" w:fill="auto"/>
            <w:vAlign w:val="center"/>
          </w:tcPr>
          <w:p>
            <w:pPr>
              <w:widowControl/>
              <w:jc w:val="right"/>
              <w:rPr>
                <w:rFonts w:ascii="宋体" w:hAnsi="宋体" w:cs="宋体"/>
                <w:kern w:val="0"/>
                <w:sz w:val="20"/>
                <w:szCs w:val="20"/>
              </w:rPr>
            </w:pPr>
          </w:p>
        </w:tc>
        <w:tc>
          <w:tcPr>
            <w:tcW w:w="708"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widowControl/>
              <w:jc w:val="right"/>
              <w:rPr>
                <w:rFonts w:ascii="宋体" w:hAnsi="宋体" w:cs="宋体"/>
                <w:kern w:val="0"/>
                <w:sz w:val="20"/>
                <w:szCs w:val="20"/>
              </w:rPr>
            </w:pPr>
            <w:r>
              <w:rPr>
                <w:rFonts w:ascii="宋体" w:hAnsi="宋体" w:cs="宋体"/>
                <w:kern w:val="0"/>
                <w:sz w:val="20"/>
                <w:szCs w:val="20"/>
              </w:rPr>
              <w:t>8</w:t>
            </w:r>
          </w:p>
        </w:tc>
        <w:tc>
          <w:tcPr>
            <w:tcW w:w="13603" w:type="dxa"/>
            <w:gridSpan w:val="17"/>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合计</w:t>
            </w:r>
          </w:p>
        </w:tc>
        <w:tc>
          <w:tcPr>
            <w:tcW w:w="708"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auto" w:fill="auto"/>
            <w:vAlign w:val="center"/>
          </w:tcPr>
          <w:p>
            <w:pPr>
              <w:jc w:val="right"/>
              <w:rPr>
                <w:rFonts w:ascii="宋体" w:hAnsi="宋体" w:cs="宋体"/>
                <w:kern w:val="0"/>
                <w:sz w:val="20"/>
                <w:szCs w:val="20"/>
              </w:rPr>
            </w:pPr>
            <w:r>
              <w:rPr>
                <w:rFonts w:hint="eastAsia" w:ascii="宋体" w:hAnsi="宋体" w:cs="宋体"/>
                <w:kern w:val="0"/>
                <w:sz w:val="20"/>
                <w:szCs w:val="20"/>
              </w:rPr>
              <w:t>9</w:t>
            </w:r>
          </w:p>
        </w:tc>
        <w:tc>
          <w:tcPr>
            <w:tcW w:w="13603" w:type="dxa"/>
            <w:gridSpan w:val="17"/>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其中：股票投资—沪港通H股</w:t>
            </w:r>
          </w:p>
        </w:tc>
        <w:tc>
          <w:tcPr>
            <w:tcW w:w="708" w:type="dxa"/>
            <w:shd w:val="clear" w:color="auto" w:fill="auto"/>
            <w:vAlign w:val="center"/>
          </w:tcPr>
          <w:p>
            <w:pPr>
              <w:widowControl/>
              <w:jc w:val="righ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tcBorders>
              <w:bottom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w:t>
            </w:r>
          </w:p>
        </w:tc>
        <w:tc>
          <w:tcPr>
            <w:tcW w:w="13603" w:type="dxa"/>
            <w:gridSpan w:val="17"/>
            <w:tcBorders>
              <w:bottom w:val="single" w:color="auto" w:sz="12" w:space="0"/>
            </w:tcBorders>
            <w:shd w:val="clear" w:color="auto" w:fill="auto"/>
            <w:vAlign w:val="center"/>
          </w:tcPr>
          <w:p>
            <w:pPr>
              <w:widowControl/>
              <w:ind w:firstLine="1000" w:firstLineChars="500"/>
              <w:jc w:val="left"/>
              <w:rPr>
                <w:rFonts w:ascii="宋体" w:hAnsi="宋体" w:cs="宋体"/>
                <w:kern w:val="0"/>
                <w:sz w:val="20"/>
                <w:szCs w:val="20"/>
              </w:rPr>
            </w:pPr>
            <w:r>
              <w:rPr>
                <w:rFonts w:hint="eastAsia" w:ascii="宋体" w:hAnsi="宋体" w:cs="宋体"/>
                <w:kern w:val="0"/>
                <w:sz w:val="20"/>
                <w:szCs w:val="20"/>
              </w:rPr>
              <w:t>股票投资—深港通H股</w:t>
            </w:r>
          </w:p>
        </w:tc>
        <w:tc>
          <w:tcPr>
            <w:tcW w:w="708" w:type="dxa"/>
            <w:tcBorders>
              <w:bottom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bookmarkEnd w:id="77"/>
    </w:tbl>
    <w:p>
      <w:pPr>
        <w:pStyle w:val="9"/>
        <w:ind w:firstLine="0" w:firstLineChars="0"/>
        <w:rPr>
          <w:sz w:val="18"/>
        </w:rPr>
        <w:sectPr>
          <w:footerReference r:id="rId10" w:type="first"/>
          <w:pgSz w:w="16838" w:h="11906" w:orient="landscape"/>
          <w:pgMar w:top="1418" w:right="1985" w:bottom="1418" w:left="1928" w:header="851" w:footer="992" w:gutter="113"/>
          <w:cols w:space="425" w:num="1"/>
          <w:titlePg/>
          <w:docGrid w:linePitch="312" w:charSpace="0"/>
        </w:sectPr>
      </w:pPr>
    </w:p>
    <w:p>
      <w:pPr>
        <w:pStyle w:val="8"/>
        <w:spacing w:before="240" w:after="360"/>
        <w:rPr>
          <w:color w:val="000000"/>
        </w:rPr>
      </w:pPr>
      <w:bookmarkStart w:id="78" w:name="_Toc499456600"/>
      <w:bookmarkStart w:id="79" w:name="_Toc393471114"/>
      <w:r>
        <w:rPr>
          <w:color w:val="000000"/>
        </w:rPr>
        <w:t>A10</w:t>
      </w:r>
      <w:r>
        <w:rPr>
          <w:rFonts w:hint="eastAsia"/>
          <w:color w:val="000000"/>
        </w:rPr>
        <w:t>7</w:t>
      </w:r>
      <w:r>
        <w:rPr>
          <w:color w:val="000000"/>
        </w:rPr>
        <w:t>01</w:t>
      </w:r>
      <w:r>
        <w:rPr>
          <w:rFonts w:hint="eastAsia"/>
          <w:color w:val="000000"/>
        </w:rPr>
        <w:t>1</w:t>
      </w:r>
      <w:r>
        <w:rPr>
          <w:color w:val="000000"/>
        </w:rPr>
        <w:tab/>
      </w:r>
      <w:r>
        <w:rPr>
          <w:rFonts w:hint="eastAsia"/>
          <w:color w:val="000000"/>
        </w:rPr>
        <w:t>《符合条件的居民企业之间的股息、红利等权益性投资收益优惠明细表》填报说明</w:t>
      </w:r>
      <w:bookmarkEnd w:id="78"/>
      <w:bookmarkEnd w:id="79"/>
    </w:p>
    <w:p>
      <w:pPr>
        <w:pStyle w:val="9"/>
        <w:rPr>
          <w:color w:val="000000"/>
        </w:rPr>
      </w:pPr>
      <w:r>
        <w:rPr>
          <w:rFonts w:hint="eastAsia"/>
          <w:color w:val="000000"/>
        </w:rPr>
        <w:t>本表适用于享受符合条件的居民企业之间的股息、红利等权益性投资收益优惠的纳税人填报。纳税人根据税法、《</w:t>
      </w:r>
      <w:r>
        <w:rPr>
          <w:color w:val="000000"/>
        </w:rPr>
        <w:t>财政部　国家税务总局关于企业清算业务企业所得税处理若干问题的通知</w:t>
      </w:r>
      <w:r>
        <w:rPr>
          <w:rFonts w:hint="eastAsia"/>
          <w:color w:val="000000"/>
        </w:rPr>
        <w:t>》（财税〔</w:t>
      </w:r>
      <w:r>
        <w:rPr>
          <w:color w:val="000000"/>
        </w:rPr>
        <w:t>2009〕6</w:t>
      </w:r>
      <w:r>
        <w:rPr>
          <w:rFonts w:hint="eastAsia"/>
          <w:color w:val="000000"/>
        </w:rPr>
        <w:t>0</w:t>
      </w:r>
      <w:r>
        <w:rPr>
          <w:color w:val="000000"/>
        </w:rPr>
        <w:t>号</w:t>
      </w:r>
      <w:r>
        <w:rPr>
          <w:rFonts w:hint="eastAsia"/>
          <w:color w:val="000000"/>
        </w:rPr>
        <w:t>）、《</w:t>
      </w:r>
      <w:r>
        <w:rPr>
          <w:color w:val="000000"/>
        </w:rPr>
        <w:t>财政部　国家税务总局关于执行企业所得税优惠政策若干问题的通知</w:t>
      </w:r>
      <w:r>
        <w:rPr>
          <w:rFonts w:hint="eastAsia"/>
          <w:color w:val="000000"/>
        </w:rPr>
        <w:t>》（财税〔</w:t>
      </w:r>
      <w:r>
        <w:rPr>
          <w:color w:val="000000"/>
        </w:rPr>
        <w:t>2009〕69号</w:t>
      </w:r>
      <w:r>
        <w:rPr>
          <w:rFonts w:hint="eastAsia"/>
          <w:color w:val="000000"/>
        </w:rPr>
        <w:t>）、《</w:t>
      </w:r>
      <w:r>
        <w:rPr>
          <w:color w:val="000000"/>
        </w:rPr>
        <w:t>国家税务总局关于贯彻落实企业所得税法若干税收问题的通知</w:t>
      </w:r>
      <w:r>
        <w:rPr>
          <w:rFonts w:hint="eastAsia"/>
          <w:color w:val="000000"/>
        </w:rPr>
        <w:t>》（国税函〔</w:t>
      </w:r>
      <w:r>
        <w:rPr>
          <w:color w:val="000000"/>
        </w:rPr>
        <w:t>2010〕79号</w:t>
      </w:r>
      <w:r>
        <w:rPr>
          <w:rFonts w:hint="eastAsia"/>
          <w:color w:val="000000"/>
        </w:rPr>
        <w:t>）、《国家税务总局关于企业所得税若干问题的公告》（国家税务总局公告</w:t>
      </w:r>
      <w:r>
        <w:rPr>
          <w:color w:val="000000"/>
        </w:rPr>
        <w:t>2011年第3</w:t>
      </w:r>
      <w:r>
        <w:rPr>
          <w:rFonts w:hint="eastAsia"/>
          <w:color w:val="000000"/>
        </w:rPr>
        <w:t>4</w:t>
      </w:r>
      <w:r>
        <w:rPr>
          <w:color w:val="000000"/>
        </w:rPr>
        <w:t>号</w:t>
      </w:r>
      <w:r>
        <w:rPr>
          <w:rFonts w:hint="eastAsia"/>
          <w:color w:val="000000"/>
        </w:rPr>
        <w:t>）、《财政部 国家税务总局 证监会关于沪港股票市场交易互联互通机制试点有关税收政策的通知》（财税〔201</w:t>
      </w:r>
      <w:r>
        <w:rPr>
          <w:color w:val="000000"/>
        </w:rPr>
        <w:t>4</w:t>
      </w:r>
      <w:r>
        <w:rPr>
          <w:rFonts w:hint="eastAsia"/>
          <w:color w:val="000000"/>
        </w:rPr>
        <w:t>〕</w:t>
      </w:r>
      <w:r>
        <w:rPr>
          <w:color w:val="000000"/>
        </w:rPr>
        <w:t>81</w:t>
      </w:r>
      <w:r>
        <w:rPr>
          <w:rFonts w:hint="eastAsia"/>
          <w:color w:val="000000"/>
        </w:rPr>
        <w:t>号）、《财政部 国家税务总局 证监会关于深港股票市场交易互联互通机制试点有关税收政策的通知》（财税〔</w:t>
      </w:r>
      <w:r>
        <w:rPr>
          <w:color w:val="000000"/>
        </w:rPr>
        <w:t>2016〕</w:t>
      </w:r>
      <w:r>
        <w:rPr>
          <w:rFonts w:hint="eastAsia"/>
          <w:color w:val="000000"/>
        </w:rPr>
        <w:t>127号）等相关税收政策规定，填报本年发生的符合条件的居民企业之间的股息、红利（包括H股）等权益性投资收益优惠情况，不包括连续持有居民企业公开发行并</w:t>
      </w:r>
      <w:r>
        <w:rPr>
          <w:rFonts w:hint="eastAsia" w:cs="宋体"/>
          <w:color w:val="000000"/>
        </w:rPr>
        <w:t>上市</w:t>
      </w:r>
      <w:r>
        <w:rPr>
          <w:rFonts w:hint="eastAsia"/>
          <w:color w:val="000000"/>
        </w:rPr>
        <w:t>流通的股票不足12个月取得的投资收益。</w:t>
      </w:r>
    </w:p>
    <w:p>
      <w:pPr>
        <w:pStyle w:val="11"/>
        <w:ind w:firstLine="482"/>
      </w:pPr>
      <w:r>
        <w:rPr>
          <w:rFonts w:hint="eastAsia"/>
        </w:rPr>
        <w:t>一、有关项目填报说明</w:t>
      </w:r>
    </w:p>
    <w:p>
      <w:pPr>
        <w:pStyle w:val="9"/>
        <w:rPr>
          <w:rFonts w:hint="eastAsia"/>
        </w:rPr>
      </w:pPr>
      <w:r>
        <w:rPr>
          <w:rFonts w:hint="eastAsia"/>
        </w:rPr>
        <w:t>1</w:t>
      </w:r>
      <w:r>
        <w:t>.</w:t>
      </w:r>
      <w:r>
        <w:rPr>
          <w:rFonts w:hint="eastAsia"/>
        </w:rPr>
        <w:t>行次根据投资企业名称和投资性质填报，可以根据情况增加。</w:t>
      </w:r>
    </w:p>
    <w:p>
      <w:pPr>
        <w:pStyle w:val="9"/>
        <w:rPr>
          <w:rFonts w:hint="eastAsia"/>
        </w:rPr>
      </w:pPr>
      <w:r>
        <w:rPr>
          <w:rFonts w:hint="eastAsia"/>
        </w:rPr>
        <w:t>2.第</w:t>
      </w:r>
      <w:r>
        <w:t>8</w:t>
      </w:r>
      <w:r>
        <w:rPr>
          <w:rFonts w:hint="eastAsia"/>
        </w:rPr>
        <w:t>行“合计”：填报第1+2+…+</w:t>
      </w:r>
      <w:r>
        <w:t>7</w:t>
      </w:r>
      <w:r>
        <w:rPr>
          <w:rFonts w:hint="eastAsia"/>
        </w:rPr>
        <w:t>行的第17列合计金额，若增行，根据增行后的情况合计。</w:t>
      </w:r>
    </w:p>
    <w:p>
      <w:pPr>
        <w:pStyle w:val="9"/>
      </w:pPr>
      <w:r>
        <w:rPr>
          <w:rFonts w:hint="eastAsia"/>
        </w:rPr>
        <w:t>3</w:t>
      </w:r>
      <w:r>
        <w:t>.</w:t>
      </w:r>
      <w:r>
        <w:rPr>
          <w:rFonts w:hint="eastAsia"/>
        </w:rPr>
        <w:t>第</w:t>
      </w:r>
      <w:r>
        <w:t>9</w:t>
      </w:r>
      <w:r>
        <w:rPr>
          <w:rFonts w:hint="eastAsia"/>
        </w:rPr>
        <w:t>行“其中：股票投资—沪港通H股”：填报第1+2…+</w:t>
      </w:r>
      <w:r>
        <w:t>7</w:t>
      </w:r>
      <w:r>
        <w:rPr>
          <w:rFonts w:hint="eastAsia"/>
        </w:rPr>
        <w:t>行中，“投资性质”列选择“（3）股票投资（沪港通H股投资）”的行次，第17列合计金额。</w:t>
      </w:r>
    </w:p>
    <w:p>
      <w:pPr>
        <w:pStyle w:val="9"/>
      </w:pPr>
      <w:r>
        <w:rPr>
          <w:rFonts w:hint="eastAsia"/>
        </w:rPr>
        <w:t>4.第</w:t>
      </w:r>
      <w:r>
        <w:t>10</w:t>
      </w:r>
      <w:r>
        <w:rPr>
          <w:rFonts w:hint="eastAsia"/>
        </w:rPr>
        <w:t>行“股票投资—深港通H股”：填报第1+2…+7行中，“投资性质”列选择“（</w:t>
      </w:r>
      <w:r>
        <w:t>4</w:t>
      </w:r>
      <w:r>
        <w:rPr>
          <w:rFonts w:hint="eastAsia"/>
        </w:rPr>
        <w:t>）股票投资（深港通H股投资）”的行次，第17列合计金额。</w:t>
      </w:r>
    </w:p>
    <w:p>
      <w:pPr>
        <w:pStyle w:val="9"/>
      </w:pPr>
      <w:r>
        <w:rPr>
          <w:rFonts w:hint="eastAsia"/>
        </w:rPr>
        <w:t>5</w:t>
      </w:r>
      <w:r>
        <w:t>.</w:t>
      </w:r>
      <w:r>
        <w:rPr>
          <w:rFonts w:hint="eastAsia"/>
        </w:rPr>
        <w:t>第1列“被投资企业”：填报被投资企业名称。</w:t>
      </w:r>
    </w:p>
    <w:p>
      <w:pPr>
        <w:pStyle w:val="9"/>
      </w:pPr>
      <w:r>
        <w:rPr>
          <w:rFonts w:hint="eastAsia"/>
        </w:rPr>
        <w:t>6.第2列“被投资企业统一社会信用代码（纳税人识别号）”：填报被投资企业工商等部门核发的纳税人统一社会信用代码。未取得统一社会信用代码的，填报税务机关核发的纳税人识别号。</w:t>
      </w:r>
    </w:p>
    <w:p>
      <w:pPr>
        <w:pStyle w:val="9"/>
      </w:pPr>
      <w:r>
        <w:rPr>
          <w:rFonts w:hint="eastAsia"/>
        </w:rPr>
        <w:t>7.第3列“投资性质”：按选项填报：（1）直接投资、（2）股票投资（不含H股）、（3）股票投资（沪港通H股投资）、（4）股票投资（深港通H股投资）。</w:t>
      </w:r>
    </w:p>
    <w:p>
      <w:pPr>
        <w:pStyle w:val="9"/>
      </w:pPr>
      <w:r>
        <w:rPr>
          <w:rFonts w:hint="eastAsia"/>
        </w:rPr>
        <w:t>符合《财政部 国家税务总局 证监会关于沪港股票市场交易互联互通机制试点有关税收政策的通知》（财税〔201</w:t>
      </w:r>
      <w:r>
        <w:t>4</w:t>
      </w:r>
      <w:r>
        <w:rPr>
          <w:rFonts w:hint="eastAsia"/>
        </w:rPr>
        <w:t>〕</w:t>
      </w:r>
      <w:r>
        <w:t>81</w:t>
      </w:r>
      <w:r>
        <w:rPr>
          <w:rFonts w:hint="eastAsia"/>
        </w:rPr>
        <w:t>号）文件第一条第（四）项第1目规定，享受沪港通H股股息红利免税政策的企业，选择“（3）股票投资（沪港通H股投资）”。</w:t>
      </w:r>
    </w:p>
    <w:p>
      <w:pPr>
        <w:pStyle w:val="9"/>
      </w:pPr>
      <w:r>
        <w:rPr>
          <w:rFonts w:hint="eastAsia"/>
        </w:rPr>
        <w:t>符合《财政部 国家税务总局 证监会关于深港股票市场交易互联互通机制试点有关税收政策的通知》（财税〔2016〕127号）文件第一条第(四)项第1目规定，享受深港通H股股息红利免税政策的企业，选择“（</w:t>
      </w:r>
      <w:r>
        <w:t>4</w:t>
      </w:r>
      <w:r>
        <w:rPr>
          <w:rFonts w:hint="eastAsia"/>
        </w:rPr>
        <w:t>）股票投资（深港通H股投资）”。</w:t>
      </w:r>
    </w:p>
    <w:p>
      <w:pPr>
        <w:pStyle w:val="9"/>
      </w:pPr>
      <w:r>
        <w:rPr>
          <w:rFonts w:hint="eastAsia"/>
        </w:rPr>
        <w:t>8.第4列“投资成本”：填报纳税人投资于被投资企业的计税成本。</w:t>
      </w:r>
    </w:p>
    <w:p>
      <w:pPr>
        <w:pStyle w:val="9"/>
      </w:pPr>
      <w:r>
        <w:rPr>
          <w:rFonts w:hint="eastAsia"/>
        </w:rPr>
        <w:t>9.第5列“投资比例”：填报纳税人投资于被投资企业的股权比例。若购买公开发行股票的，此列可不填报。</w:t>
      </w:r>
    </w:p>
    <w:p>
      <w:pPr>
        <w:pStyle w:val="9"/>
      </w:pPr>
      <w:r>
        <w:rPr>
          <w:rFonts w:hint="eastAsia"/>
        </w:rPr>
        <w:t>10.第6列“被投资企业做出利润分配或转股决定时间”：填报被投资企业做出利润分配或转股决定的时间。</w:t>
      </w:r>
    </w:p>
    <w:p>
      <w:pPr>
        <w:pStyle w:val="9"/>
      </w:pPr>
      <w:r>
        <w:rPr>
          <w:rFonts w:hint="eastAsia"/>
        </w:rPr>
        <w:t>11.第7列“依决定归属于本公司的股息、红利等权益性投资收益金额”：填报纳税人按照投资比例或者其他方法计算的，实际归属于本公司的股息、红利等权益性投资收益金额。若被投资企业将股权（票）溢价所形成的资本公积转为股本的，不作为投资方企业的股息、红利收入，投资方企业也不得增加该项长期投资的计税基础。</w:t>
      </w:r>
    </w:p>
    <w:p>
      <w:pPr>
        <w:pStyle w:val="9"/>
      </w:pPr>
      <w:r>
        <w:rPr>
          <w:rFonts w:hint="eastAsia"/>
        </w:rPr>
        <w:t>12.第8列“分得的被投资企业清算剩余资产”：填报纳税人分得的被投资企业清算后的剩余资产。</w:t>
      </w:r>
    </w:p>
    <w:p>
      <w:pPr>
        <w:pStyle w:val="9"/>
      </w:pPr>
      <w:r>
        <w:rPr>
          <w:rFonts w:hint="eastAsia"/>
        </w:rPr>
        <w:t>13.第9列“被清算企业累计未分配利润和累计盈余公积应享有部分”：填报被清算企业累计未分配利润和累计盈余公积中本企业应享有的金额。</w:t>
      </w:r>
    </w:p>
    <w:p>
      <w:pPr>
        <w:pStyle w:val="9"/>
      </w:pPr>
      <w:r>
        <w:rPr>
          <w:rFonts w:hint="eastAsia"/>
        </w:rPr>
        <w:t>14.第10列“应确认的股息所得”：填报第7列与第8列孰小值。</w:t>
      </w:r>
    </w:p>
    <w:p>
      <w:pPr>
        <w:pStyle w:val="9"/>
      </w:pPr>
      <w:r>
        <w:rPr>
          <w:rFonts w:hint="eastAsia"/>
        </w:rPr>
        <w:t>15.第11列“从被投资企业撤回或减少投资取得的资产”：填报纳税人从被投资企业撤回或减少投资时取得的资产。</w:t>
      </w:r>
    </w:p>
    <w:p>
      <w:pPr>
        <w:pStyle w:val="9"/>
      </w:pPr>
      <w:r>
        <w:rPr>
          <w:rFonts w:hint="eastAsia"/>
        </w:rPr>
        <w:t>16.第12列“减少投资比例”：填报纳税人撤回或减少的投资额占投资方在被投资企业持有总投资比例。</w:t>
      </w:r>
    </w:p>
    <w:p>
      <w:pPr>
        <w:pStyle w:val="9"/>
      </w:pPr>
      <w:r>
        <w:rPr>
          <w:rFonts w:hint="eastAsia"/>
        </w:rPr>
        <w:t>17.第13列“收回初始投资成本”：填报第3×11列的金额。</w:t>
      </w:r>
    </w:p>
    <w:p>
      <w:pPr>
        <w:pStyle w:val="9"/>
      </w:pPr>
      <w:r>
        <w:rPr>
          <w:rFonts w:hint="eastAsia"/>
        </w:rPr>
        <w:t>18.第14列“取得资产中超过收回初始投资成本部分”：填报第11-13列的余额。</w:t>
      </w:r>
    </w:p>
    <w:p>
      <w:pPr>
        <w:pStyle w:val="9"/>
      </w:pPr>
      <w:r>
        <w:rPr>
          <w:rFonts w:hint="eastAsia"/>
        </w:rPr>
        <w:t>19.第15列“撤回或减少投资应享有被投资企业累计未分配利润和累计盈余公积”：填报被投资企业累计未分配利润和累计盈余公积按减少实收资本比例计算的部分。</w:t>
      </w:r>
    </w:p>
    <w:p>
      <w:pPr>
        <w:pStyle w:val="9"/>
      </w:pPr>
      <w:r>
        <w:rPr>
          <w:rFonts w:hint="eastAsia"/>
        </w:rPr>
        <w:t>20.第16列“应确认的股息所得”：填报第13列与第14列孰小值。</w:t>
      </w:r>
    </w:p>
    <w:p>
      <w:pPr>
        <w:pStyle w:val="9"/>
      </w:pPr>
      <w:r>
        <w:rPr>
          <w:rFonts w:hint="eastAsia"/>
        </w:rPr>
        <w:t>21.第17列“合计”：填报第7+10+16列的合计金额。</w:t>
      </w:r>
    </w:p>
    <w:p>
      <w:pPr>
        <w:pStyle w:val="11"/>
        <w:ind w:firstLine="482"/>
      </w:pPr>
      <w:r>
        <w:rPr>
          <w:rFonts w:hint="eastAsia"/>
        </w:rPr>
        <w:t>二、表内、表间关系</w:t>
      </w:r>
    </w:p>
    <w:p>
      <w:pPr>
        <w:pStyle w:val="12"/>
      </w:pPr>
      <w:r>
        <w:rPr>
          <w:rFonts w:hint="eastAsia"/>
        </w:rPr>
        <w:t>（一）表内关系</w:t>
      </w:r>
    </w:p>
    <w:p>
      <w:pPr>
        <w:pStyle w:val="9"/>
        <w:rPr>
          <w:color w:val="000000"/>
        </w:rPr>
      </w:pPr>
      <w:r>
        <w:rPr>
          <w:rFonts w:hint="eastAsia"/>
          <w:color w:val="000000"/>
        </w:rPr>
        <w:t>1.第13列＝第4×12列。</w:t>
      </w:r>
    </w:p>
    <w:p>
      <w:pPr>
        <w:pStyle w:val="9"/>
        <w:rPr>
          <w:color w:val="000000"/>
        </w:rPr>
      </w:pPr>
      <w:r>
        <w:rPr>
          <w:rFonts w:hint="eastAsia"/>
          <w:color w:val="000000"/>
        </w:rPr>
        <w:t>2.第14列＝第11-13列。</w:t>
      </w:r>
    </w:p>
    <w:p>
      <w:pPr>
        <w:pStyle w:val="9"/>
        <w:rPr>
          <w:color w:val="000000"/>
        </w:rPr>
      </w:pPr>
      <w:r>
        <w:rPr>
          <w:rFonts w:hint="eastAsia"/>
          <w:color w:val="000000"/>
        </w:rPr>
        <w:t>3.第17列＝第7+10+16列。</w:t>
      </w:r>
    </w:p>
    <w:p>
      <w:pPr>
        <w:pStyle w:val="9"/>
        <w:rPr>
          <w:color w:val="000000"/>
        </w:rPr>
      </w:pPr>
      <w:r>
        <w:rPr>
          <w:rFonts w:hint="eastAsia"/>
          <w:color w:val="000000"/>
        </w:rPr>
        <w:t>4.第10列＝第8列与第9列孰小值。</w:t>
      </w:r>
    </w:p>
    <w:p>
      <w:pPr>
        <w:pStyle w:val="9"/>
        <w:rPr>
          <w:color w:val="000000"/>
        </w:rPr>
      </w:pPr>
      <w:r>
        <w:rPr>
          <w:rFonts w:hint="eastAsia"/>
          <w:color w:val="000000"/>
        </w:rPr>
        <w:t>5.第16列＝第14列与第15列孰小值。</w:t>
      </w:r>
    </w:p>
    <w:p>
      <w:pPr>
        <w:pStyle w:val="9"/>
        <w:rPr>
          <w:color w:val="000000"/>
        </w:rPr>
      </w:pPr>
      <w:r>
        <w:rPr>
          <w:rFonts w:hint="eastAsia"/>
          <w:color w:val="000000"/>
        </w:rPr>
        <w:t>6.第</w:t>
      </w:r>
      <w:r>
        <w:rPr>
          <w:color w:val="000000"/>
        </w:rPr>
        <w:t>8</w:t>
      </w:r>
      <w:r>
        <w:rPr>
          <w:rFonts w:hint="eastAsia"/>
          <w:color w:val="000000"/>
        </w:rPr>
        <w:t>行（“合计”行）＝第1+2+</w:t>
      </w:r>
      <w:r>
        <w:rPr>
          <w:color w:val="000000"/>
        </w:rPr>
        <w:t>…</w:t>
      </w:r>
      <w:r>
        <w:rPr>
          <w:rFonts w:hint="eastAsia"/>
          <w:color w:val="000000"/>
        </w:rPr>
        <w:t>+</w:t>
      </w:r>
      <w:r>
        <w:rPr>
          <w:color w:val="000000"/>
        </w:rPr>
        <w:t>7</w:t>
      </w:r>
      <w:r>
        <w:rPr>
          <w:rFonts w:hint="eastAsia"/>
          <w:color w:val="000000"/>
        </w:rPr>
        <w:t>行第17列合计。</w:t>
      </w:r>
    </w:p>
    <w:p>
      <w:pPr>
        <w:pStyle w:val="9"/>
        <w:rPr>
          <w:color w:val="000000"/>
        </w:rPr>
      </w:pPr>
      <w:r>
        <w:rPr>
          <w:color w:val="000000"/>
        </w:rPr>
        <w:t>7.</w:t>
      </w:r>
      <w:r>
        <w:rPr>
          <w:rFonts w:hint="eastAsia"/>
          <w:color w:val="000000"/>
        </w:rPr>
        <w:t>第9行（“股票投资—沪港通H股”合计行）＝第1+2+</w:t>
      </w:r>
      <w:r>
        <w:rPr>
          <w:color w:val="000000"/>
        </w:rPr>
        <w:t>…</w:t>
      </w:r>
      <w:r>
        <w:rPr>
          <w:rFonts w:hint="eastAsia"/>
          <w:color w:val="000000"/>
        </w:rPr>
        <w:t>+</w:t>
      </w:r>
      <w:r>
        <w:rPr>
          <w:color w:val="000000"/>
        </w:rPr>
        <w:t>7</w:t>
      </w:r>
      <w:r>
        <w:rPr>
          <w:rFonts w:hint="eastAsia"/>
          <w:color w:val="000000"/>
        </w:rPr>
        <w:t>行中，各行第3列选择“（3）股票投资（沪港通H股投资）”的行次第17列合计金额。</w:t>
      </w:r>
    </w:p>
    <w:p>
      <w:pPr>
        <w:pStyle w:val="9"/>
        <w:rPr>
          <w:color w:val="000000"/>
        </w:rPr>
      </w:pPr>
      <w:r>
        <w:rPr>
          <w:rFonts w:hint="eastAsia"/>
          <w:color w:val="000000"/>
        </w:rPr>
        <w:t>8.第</w:t>
      </w:r>
      <w:r>
        <w:rPr>
          <w:color w:val="000000"/>
        </w:rPr>
        <w:t>10</w:t>
      </w:r>
      <w:r>
        <w:rPr>
          <w:rFonts w:hint="eastAsia"/>
          <w:color w:val="000000"/>
        </w:rPr>
        <w:t>行（“股票投资—深港通H股”合计行）＝第1+2…+7行中，各行第3列选择“（</w:t>
      </w:r>
      <w:r>
        <w:rPr>
          <w:color w:val="000000"/>
        </w:rPr>
        <w:t>4</w:t>
      </w:r>
      <w:r>
        <w:rPr>
          <w:rFonts w:hint="eastAsia"/>
          <w:color w:val="000000"/>
        </w:rPr>
        <w:t>）股票投资（深港通H股投资）”的行次第17列合计金额。</w:t>
      </w:r>
    </w:p>
    <w:p>
      <w:pPr>
        <w:pStyle w:val="12"/>
      </w:pPr>
      <w:r>
        <w:rPr>
          <w:rFonts w:hint="eastAsia"/>
        </w:rPr>
        <w:t>（二）表间关系</w:t>
      </w:r>
    </w:p>
    <w:p>
      <w:pPr>
        <w:pStyle w:val="9"/>
        <w:rPr>
          <w:color w:val="000000"/>
        </w:rPr>
      </w:pPr>
      <w:r>
        <w:rPr>
          <w:rFonts w:hint="eastAsia"/>
          <w:color w:val="000000"/>
        </w:rPr>
        <w:t>1.第8行第1</w:t>
      </w:r>
      <w:r>
        <w:rPr>
          <w:color w:val="000000"/>
        </w:rPr>
        <w:t>7</w:t>
      </w:r>
      <w:r>
        <w:rPr>
          <w:rFonts w:hint="eastAsia"/>
          <w:color w:val="000000"/>
        </w:rPr>
        <w:t>列＝表A107010第3行。</w:t>
      </w:r>
    </w:p>
    <w:p>
      <w:pPr>
        <w:pStyle w:val="9"/>
        <w:rPr>
          <w:color w:val="000000"/>
        </w:rPr>
      </w:pPr>
      <w:r>
        <w:rPr>
          <w:rFonts w:hint="eastAsia"/>
          <w:color w:val="000000"/>
        </w:rPr>
        <w:t>2.第</w:t>
      </w:r>
      <w:r>
        <w:rPr>
          <w:color w:val="000000"/>
        </w:rPr>
        <w:t>9</w:t>
      </w:r>
      <w:r>
        <w:rPr>
          <w:rFonts w:hint="eastAsia"/>
          <w:color w:val="000000"/>
        </w:rPr>
        <w:t>行第1</w:t>
      </w:r>
      <w:r>
        <w:rPr>
          <w:color w:val="000000"/>
        </w:rPr>
        <w:t>7</w:t>
      </w:r>
      <w:r>
        <w:rPr>
          <w:rFonts w:hint="eastAsia"/>
          <w:color w:val="000000"/>
        </w:rPr>
        <w:t>列＝表A107010第</w:t>
      </w:r>
      <w:r>
        <w:rPr>
          <w:color w:val="000000"/>
        </w:rPr>
        <w:t>4</w:t>
      </w:r>
      <w:r>
        <w:rPr>
          <w:rFonts w:hint="eastAsia"/>
          <w:color w:val="000000"/>
        </w:rPr>
        <w:t>行。</w:t>
      </w:r>
    </w:p>
    <w:p>
      <w:pPr>
        <w:pStyle w:val="9"/>
        <w:rPr>
          <w:color w:val="000000"/>
        </w:rPr>
      </w:pPr>
      <w:r>
        <w:rPr>
          <w:color w:val="000000"/>
        </w:rPr>
        <w:t>3.</w:t>
      </w:r>
      <w:r>
        <w:rPr>
          <w:rFonts w:hint="eastAsia"/>
          <w:color w:val="000000"/>
        </w:rPr>
        <w:t>第</w:t>
      </w:r>
      <w:r>
        <w:rPr>
          <w:color w:val="000000"/>
        </w:rPr>
        <w:t>10</w:t>
      </w:r>
      <w:r>
        <w:rPr>
          <w:rFonts w:hint="eastAsia"/>
          <w:color w:val="000000"/>
        </w:rPr>
        <w:t>行第1</w:t>
      </w:r>
      <w:r>
        <w:rPr>
          <w:color w:val="000000"/>
        </w:rPr>
        <w:t>7</w:t>
      </w:r>
      <w:r>
        <w:rPr>
          <w:rFonts w:hint="eastAsia"/>
          <w:color w:val="000000"/>
        </w:rPr>
        <w:t>列＝表A107010第</w:t>
      </w:r>
      <w:r>
        <w:rPr>
          <w:color w:val="000000"/>
        </w:rPr>
        <w:t>5</w:t>
      </w:r>
      <w:r>
        <w:rPr>
          <w:rFonts w:hint="eastAsia"/>
          <w:color w:val="000000"/>
        </w:rPr>
        <w:t>行。</w:t>
      </w:r>
    </w:p>
    <w:p>
      <w:pPr>
        <w:pStyle w:val="9"/>
        <w:rPr>
          <w:color w:val="000000"/>
        </w:rPr>
        <w:sectPr>
          <w:pgSz w:w="11906" w:h="16838"/>
          <w:pgMar w:top="1985" w:right="1418" w:bottom="1928" w:left="1418" w:header="851" w:footer="992" w:gutter="113"/>
          <w:cols w:space="425" w:num="1"/>
          <w:docGrid w:linePitch="312" w:charSpace="0"/>
        </w:sectPr>
      </w:pPr>
    </w:p>
    <w:p>
      <w:pPr>
        <w:pStyle w:val="10"/>
      </w:pPr>
      <w:bookmarkStart w:id="80" w:name="_Toc499456601"/>
      <w:r>
        <w:rPr>
          <w:rFonts w:hint="eastAsia"/>
        </w:rPr>
        <w:t>A107012</w:t>
      </w:r>
      <w:r>
        <w:tab/>
      </w:r>
      <w:r>
        <w:rPr>
          <w:rFonts w:hint="eastAsia"/>
        </w:rPr>
        <w:t>研发费用加计扣除优惠明细表</w:t>
      </w:r>
      <w:bookmarkEnd w:id="80"/>
    </w:p>
    <w:tbl>
      <w:tblPr>
        <w:tblStyle w:val="7"/>
        <w:tblW w:w="97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6"/>
        <w:gridCol w:w="4209"/>
        <w:gridCol w:w="3181"/>
        <w:gridCol w:w="18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9701" w:type="dxa"/>
            <w:gridSpan w:val="4"/>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209"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□一般企业     □科技型中小企业</w:t>
            </w:r>
          </w:p>
        </w:tc>
        <w:tc>
          <w:tcPr>
            <w:tcW w:w="3181"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科技型中小企业登记编号</w:t>
            </w:r>
          </w:p>
        </w:tc>
        <w:tc>
          <w:tcPr>
            <w:tcW w:w="189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4209"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本年可享受研发费用加计扣除项目数量</w:t>
            </w:r>
          </w:p>
        </w:tc>
        <w:tc>
          <w:tcPr>
            <w:tcW w:w="5076" w:type="dxa"/>
            <w:gridSpan w:val="2"/>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9701" w:type="dxa"/>
            <w:gridSpan w:val="4"/>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研发活动费用明细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7390" w:type="dxa"/>
            <w:gridSpan w:val="2"/>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一、自主研发、合作研发、集中研发（4+8+17+20+24+35）</w:t>
            </w:r>
          </w:p>
        </w:tc>
        <w:tc>
          <w:tcPr>
            <w:tcW w:w="1895" w:type="dxa"/>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7390" w:type="dxa"/>
            <w:gridSpan w:val="2"/>
            <w:shd w:val="clear" w:color="000000" w:fill="FFFFFF"/>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（一）人员人工费用（5+6+7）</w:t>
            </w:r>
          </w:p>
        </w:tc>
        <w:tc>
          <w:tcPr>
            <w:tcW w:w="1895" w:type="dxa"/>
            <w:shd w:val="clear" w:color="000000" w:fill="FFFFFF"/>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1.直接从事研发活动人员工资薪金</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2.直接从事研发活动人员五险一金</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3.外聘研发人员的劳务费用</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7390" w:type="dxa"/>
            <w:gridSpan w:val="2"/>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（二）直接投入费用（9+10+…+16）</w:t>
            </w:r>
          </w:p>
        </w:tc>
        <w:tc>
          <w:tcPr>
            <w:tcW w:w="189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1.研发活动直接消耗材料</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2.研发活动直接消耗燃料</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3.研发活动直接消耗动力费用</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4.用于中间试验和产品试制的模具、工艺装备开发及制造费</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5.用于不构成固定资产的样品、样机及一般测试手段购置费</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6.用于试制产品的检验费</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7.用于研发活动的仪器、设备的运行维护、调整、检验、维修等费用</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8.通过经营租赁方式租入的用于研发活动的仪器、设备租赁费</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7390" w:type="dxa"/>
            <w:gridSpan w:val="2"/>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（三）折旧费用（18+19）</w:t>
            </w:r>
          </w:p>
        </w:tc>
        <w:tc>
          <w:tcPr>
            <w:tcW w:w="189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1.用于研发活动的仪器的折旧费</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2.用于研发活动的设备的折旧费</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7390" w:type="dxa"/>
            <w:gridSpan w:val="2"/>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（四）无形资产摊销（21+22+23）</w:t>
            </w:r>
          </w:p>
        </w:tc>
        <w:tc>
          <w:tcPr>
            <w:tcW w:w="189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1.用于研发活动的软件的摊销费用</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2.用于研发活动的专利权的摊销费用</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3.用于研发活动的非专利技术（包括许可证、专有技术、设计和计算方法等）的摊销费用</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7390" w:type="dxa"/>
            <w:gridSpan w:val="2"/>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（五）新产品设计费等（25+26+27+28）</w:t>
            </w:r>
          </w:p>
        </w:tc>
        <w:tc>
          <w:tcPr>
            <w:tcW w:w="189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1.新产品设计费</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2.新工艺规程制定费</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3.新药研制的临床试验费</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4.勘探开发技术的现场试验费</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7390" w:type="dxa"/>
            <w:gridSpan w:val="2"/>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（六）其他相关费用(30+31+32+33+34)</w:t>
            </w:r>
          </w:p>
        </w:tc>
        <w:tc>
          <w:tcPr>
            <w:tcW w:w="189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1.技术图书资料费、资料翻译费、专家咨询费、高新科技研发保险费</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2.研发成果的检索、分析、评议、论证、鉴定、评审、评估、验收费用</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3.知识产权的申请费、注册费、代理费</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4.职工福利费、补充养老保险费、补充医疗保险费</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7390" w:type="dxa"/>
            <w:gridSpan w:val="2"/>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5.差旅费、会议费</w:t>
            </w:r>
          </w:p>
        </w:tc>
        <w:tc>
          <w:tcPr>
            <w:tcW w:w="189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7390" w:type="dxa"/>
            <w:gridSpan w:val="2"/>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（七）经限额调整后的其他相关费用</w:t>
            </w:r>
          </w:p>
        </w:tc>
        <w:tc>
          <w:tcPr>
            <w:tcW w:w="1895" w:type="dxa"/>
            <w:shd w:val="clear" w:color="000000" w:fill="FFFFFF"/>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7390" w:type="dxa"/>
            <w:gridSpan w:val="2"/>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二、委托研发[(37-38)×80%]</w:t>
            </w:r>
          </w:p>
        </w:tc>
        <w:tc>
          <w:tcPr>
            <w:tcW w:w="189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7390" w:type="dxa"/>
            <w:gridSpan w:val="2"/>
            <w:shd w:val="clear" w:color="000000" w:fill="FFFFFF"/>
            <w:vAlign w:val="center"/>
          </w:tcPr>
          <w:p>
            <w:pPr>
              <w:widowControl/>
              <w:ind w:firstLine="418" w:firstLineChars="209"/>
              <w:jc w:val="left"/>
              <w:rPr>
                <w:rFonts w:ascii="宋体" w:hAnsi="宋体" w:cs="宋体"/>
                <w:kern w:val="0"/>
                <w:sz w:val="20"/>
                <w:szCs w:val="20"/>
              </w:rPr>
            </w:pPr>
            <w:r>
              <w:rPr>
                <w:rFonts w:hint="eastAsia" w:ascii="宋体" w:hAnsi="宋体" w:cs="宋体"/>
                <w:kern w:val="0"/>
                <w:sz w:val="20"/>
                <w:szCs w:val="20"/>
              </w:rPr>
              <w:t>委托外部机构或个人进行研发活动所发生的费用</w:t>
            </w:r>
          </w:p>
        </w:tc>
        <w:tc>
          <w:tcPr>
            <w:tcW w:w="1895" w:type="dxa"/>
            <w:shd w:val="clear" w:color="000000" w:fill="FFFFFF"/>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7390" w:type="dxa"/>
            <w:gridSpan w:val="2"/>
            <w:shd w:val="clear" w:color="000000" w:fill="FFFFFF"/>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其中：委托境外进行研发活动所发生的费用</w:t>
            </w:r>
          </w:p>
        </w:tc>
        <w:tc>
          <w:tcPr>
            <w:tcW w:w="189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7390" w:type="dxa"/>
            <w:gridSpan w:val="2"/>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三、年度研发费用小计(3+36)</w:t>
            </w:r>
          </w:p>
        </w:tc>
        <w:tc>
          <w:tcPr>
            <w:tcW w:w="189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7390" w:type="dxa"/>
            <w:gridSpan w:val="2"/>
            <w:shd w:val="clear" w:color="000000" w:fill="FFFFFF"/>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（一）本年费用化金额</w:t>
            </w:r>
          </w:p>
        </w:tc>
        <w:tc>
          <w:tcPr>
            <w:tcW w:w="189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7390" w:type="dxa"/>
            <w:gridSpan w:val="2"/>
            <w:shd w:val="clear" w:color="000000" w:fill="FFFFFF"/>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（二）本年资本化金额</w:t>
            </w:r>
          </w:p>
        </w:tc>
        <w:tc>
          <w:tcPr>
            <w:tcW w:w="189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7390" w:type="dxa"/>
            <w:gridSpan w:val="2"/>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四、本年形成无形资产摊销额</w:t>
            </w:r>
          </w:p>
        </w:tc>
        <w:tc>
          <w:tcPr>
            <w:tcW w:w="1895" w:type="dxa"/>
            <w:shd w:val="clear" w:color="000000" w:fill="FFFFFF"/>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7390" w:type="dxa"/>
            <w:gridSpan w:val="2"/>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五、以前年度形成无形资产本年摊销额</w:t>
            </w:r>
          </w:p>
        </w:tc>
        <w:tc>
          <w:tcPr>
            <w:tcW w:w="189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7390" w:type="dxa"/>
            <w:gridSpan w:val="2"/>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六、允许扣除的研发费用合计（40+42+43）</w:t>
            </w:r>
          </w:p>
        </w:tc>
        <w:tc>
          <w:tcPr>
            <w:tcW w:w="189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7390" w:type="dxa"/>
            <w:gridSpan w:val="2"/>
            <w:shd w:val="clear" w:color="000000" w:fill="FFFFFF"/>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减：特殊收入部分</w:t>
            </w:r>
          </w:p>
        </w:tc>
        <w:tc>
          <w:tcPr>
            <w:tcW w:w="189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7390" w:type="dxa"/>
            <w:gridSpan w:val="2"/>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七、允许扣除的研发费用抵减特殊收入后的金额(44-45)</w:t>
            </w:r>
          </w:p>
        </w:tc>
        <w:tc>
          <w:tcPr>
            <w:tcW w:w="189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7390" w:type="dxa"/>
            <w:gridSpan w:val="2"/>
            <w:shd w:val="clear" w:color="000000" w:fill="FFFFFF"/>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减：当年销售研发活动直接形成产品（包括组成部分）对应的材料部分</w:t>
            </w:r>
          </w:p>
        </w:tc>
        <w:tc>
          <w:tcPr>
            <w:tcW w:w="189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7390" w:type="dxa"/>
            <w:gridSpan w:val="2"/>
            <w:shd w:val="clear" w:color="000000" w:fill="FFFFFF"/>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减：以前年度销售研发活动直接形成产品（包括组成部分）对应材料部分结转金额</w:t>
            </w:r>
          </w:p>
        </w:tc>
        <w:tc>
          <w:tcPr>
            <w:tcW w:w="189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49</w:t>
            </w:r>
          </w:p>
        </w:tc>
        <w:tc>
          <w:tcPr>
            <w:tcW w:w="7390" w:type="dxa"/>
            <w:gridSpan w:val="2"/>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八、加计扣除比例</w:t>
            </w:r>
          </w:p>
        </w:tc>
        <w:tc>
          <w:tcPr>
            <w:tcW w:w="1895" w:type="dxa"/>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7390" w:type="dxa"/>
            <w:gridSpan w:val="2"/>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九、本年研发费用加计扣除总额（46-47-48）×49</w:t>
            </w:r>
          </w:p>
        </w:tc>
        <w:tc>
          <w:tcPr>
            <w:tcW w:w="1895" w:type="dxa"/>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6" w:type="dxa"/>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7390" w:type="dxa"/>
            <w:gridSpan w:val="2"/>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十、销售研发活动直接形成产品（包括组成部分）对应材料部分结转以后年度扣减金额（当46-47-48≥0，本行=0；当46-47-48&lt;0，本行=46-47-48的绝对值)</w:t>
            </w:r>
          </w:p>
        </w:tc>
        <w:tc>
          <w:tcPr>
            <w:tcW w:w="1895" w:type="dxa"/>
            <w:shd w:val="clear" w:color="000000" w:fill="FFFFFF"/>
            <w:vAlign w:val="center"/>
          </w:tcPr>
          <w:p>
            <w:pPr>
              <w:widowControl/>
              <w:jc w:val="left"/>
              <w:rPr>
                <w:rFonts w:ascii="宋体" w:hAnsi="宋体" w:cs="宋体"/>
                <w:color w:val="FF0000"/>
                <w:kern w:val="0"/>
                <w:sz w:val="20"/>
                <w:szCs w:val="20"/>
              </w:rPr>
            </w:pPr>
            <w:r>
              <w:rPr>
                <w:rFonts w:hint="eastAsia" w:ascii="宋体" w:hAnsi="宋体" w:cs="宋体"/>
                <w:color w:val="FF0000"/>
                <w:kern w:val="0"/>
                <w:sz w:val="20"/>
                <w:szCs w:val="20"/>
              </w:rPr>
              <w:t>　</w:t>
            </w:r>
          </w:p>
        </w:tc>
      </w:tr>
    </w:tbl>
    <w:p>
      <w:pPr>
        <w:tabs>
          <w:tab w:val="left" w:pos="3150"/>
        </w:tabs>
        <w:sectPr>
          <w:pgSz w:w="11906" w:h="16838"/>
          <w:pgMar w:top="1985" w:right="1418" w:bottom="1928" w:left="1418" w:header="851" w:footer="992" w:gutter="113"/>
          <w:cols w:space="425" w:num="1"/>
          <w:docGrid w:linePitch="312" w:charSpace="0"/>
        </w:sectPr>
      </w:pPr>
    </w:p>
    <w:p>
      <w:pPr>
        <w:pStyle w:val="8"/>
        <w:spacing w:before="240" w:after="360"/>
        <w:rPr>
          <w:color w:val="000000"/>
        </w:rPr>
      </w:pPr>
      <w:bookmarkStart w:id="81" w:name="_Toc499456602"/>
      <w:bookmarkStart w:id="82" w:name="_Toc393471129"/>
      <w:bookmarkStart w:id="83" w:name="_Toc390864024"/>
      <w:bookmarkStart w:id="84" w:name="_Toc393471134"/>
      <w:r>
        <w:rPr>
          <w:color w:val="000000"/>
        </w:rPr>
        <w:t>A10</w:t>
      </w:r>
      <w:r>
        <w:rPr>
          <w:rFonts w:hint="eastAsia"/>
          <w:color w:val="000000"/>
        </w:rPr>
        <w:t>7</w:t>
      </w:r>
      <w:r>
        <w:rPr>
          <w:color w:val="000000"/>
        </w:rPr>
        <w:t>012</w:t>
      </w:r>
      <w:r>
        <w:rPr>
          <w:color w:val="000000"/>
        </w:rPr>
        <w:tab/>
      </w:r>
      <w:r>
        <w:rPr>
          <w:rFonts w:hint="eastAsia"/>
          <w:color w:val="000000"/>
        </w:rPr>
        <w:t>《研发费用加计扣除优惠明细表》填报说明</w:t>
      </w:r>
      <w:bookmarkEnd w:id="81"/>
      <w:bookmarkEnd w:id="82"/>
    </w:p>
    <w:p>
      <w:pPr>
        <w:pStyle w:val="9"/>
        <w:rPr>
          <w:color w:val="000000"/>
        </w:rPr>
      </w:pPr>
      <w:r>
        <w:rPr>
          <w:rFonts w:hint="eastAsia"/>
          <w:color w:val="000000"/>
        </w:rPr>
        <w:t>本表适用于享受研发费用加计扣除优惠（含结转）的纳税人填报。纳税人根据税法、《财政部 国家税务总局 科技部关于完善研究开发费用税前加计扣除政策的通知》（财税〔2015〕119号）、《国家税务总局关于企业研究开发费用税前加计扣除政策有关问题的公告》（国家税务总局公告2015年第97号）、《财政部 税务总局 科技部关于提高科技型中小企业研究开发费用税前加计扣除比例的通知》（财税〔2017〕34号）、《科技部 财政部 国家税务总局关于印发〈科技型中小企业评价办法〉的通知》（国科发政〔2017〕115号）、《国家税务总局关于提高科技型中小企业研究开发费用税前加计扣除比例有关问题的公告》（国家税务总局公告2017年第18号）、《国家税务总局关于研发费用税前加计扣除归集范围有关问题的公告》（国家税务总局公告2017年第40号）等相关税收政策规定，填报本年发生的研发费用加计扣除优惠情况及以前年度结转情况。</w:t>
      </w:r>
    </w:p>
    <w:p>
      <w:pPr>
        <w:pStyle w:val="11"/>
        <w:ind w:firstLine="482"/>
      </w:pPr>
      <w:r>
        <w:rPr>
          <w:rFonts w:hint="eastAsia"/>
        </w:rPr>
        <w:t>一、有关项目填报说明</w:t>
      </w:r>
    </w:p>
    <w:p>
      <w:pPr>
        <w:pStyle w:val="9"/>
      </w:pPr>
      <w:r>
        <w:rPr>
          <w:rFonts w:hint="eastAsia"/>
        </w:rPr>
        <w:t>1.第1行“□一般企业 □科技型中小企业”：纳税人按照《科技部 财政部 国家税务总局关于印发&lt;科技型中小企业评价办法&gt;的通知》(国科发政〔2017〕115号)的相关规定，取得相应年度科技型中小企业登记编号的，选择“科技型中小企业”,并填写“科技型中小企业登记编号”，否则选择“一般企业”。</w:t>
      </w:r>
    </w:p>
    <w:p>
      <w:pPr>
        <w:pStyle w:val="9"/>
      </w:pPr>
      <w:r>
        <w:rPr>
          <w:rFonts w:hint="eastAsia"/>
        </w:rPr>
        <w:t>2.第2行“本年可享受研发费用加计扣除项目数量”：填报纳税人本年研发项目中可享受研发费用加计扣除优惠政策的项目数量。</w:t>
      </w:r>
    </w:p>
    <w:p>
      <w:pPr>
        <w:pStyle w:val="9"/>
      </w:pPr>
      <w:r>
        <w:rPr>
          <w:rFonts w:hint="eastAsia"/>
        </w:rPr>
        <w:t>3.第3行“一、自主研发、合作研发、集中研发”：填报第4+8+17+20+24+35行的合计金额。</w:t>
      </w:r>
    </w:p>
    <w:p>
      <w:pPr>
        <w:pStyle w:val="9"/>
      </w:pPr>
      <w:r>
        <w:rPr>
          <w:rFonts w:hint="eastAsia"/>
        </w:rPr>
        <w:t>4.第4行“（一）人员人工费用”：填报第5+6+7行的合计金额。</w:t>
      </w:r>
    </w:p>
    <w:p>
      <w:pPr>
        <w:pStyle w:val="9"/>
      </w:pPr>
      <w:r>
        <w:rPr>
          <w:rFonts w:hint="eastAsia"/>
        </w:rPr>
        <w:t>直接从事研发活动的人员、外聘研发人员同时从事非研发活动的，填报按实际工时占比等合理方法分配的用于研发活动的相关费用。</w:t>
      </w:r>
    </w:p>
    <w:p>
      <w:pPr>
        <w:pStyle w:val="9"/>
      </w:pPr>
      <w:r>
        <w:rPr>
          <w:rFonts w:hint="eastAsia"/>
        </w:rPr>
        <w:t>5.第5行“1.直接从事研发活动人员工资薪金”：填报纳税人直接从事研发活动人员包括研究人员、技术人员、辅助人员发生的工资、薪金、奖金、津贴、补贴以及按规定可以在税前扣除的对研发人员股权激励的支出。</w:t>
      </w:r>
    </w:p>
    <w:p>
      <w:pPr>
        <w:pStyle w:val="9"/>
        <w:rPr>
          <w:color w:val="000000"/>
        </w:rPr>
      </w:pPr>
      <w:r>
        <w:rPr>
          <w:rFonts w:hint="eastAsia"/>
        </w:rPr>
        <w:t>6.第6行“2.直接从事研发活动人员五险一金”：填报纳税人直</w:t>
      </w:r>
      <w:r>
        <w:rPr>
          <w:rFonts w:hint="eastAsia"/>
          <w:color w:val="000000"/>
        </w:rPr>
        <w:t>接从事研发活动人员包括研究人员、技术人员、辅助人员发生的基本养老保险费、基本医疗保险费、失业保险费、工伤保险费、生育保险费和住房公积金。</w:t>
      </w:r>
    </w:p>
    <w:p>
      <w:pPr>
        <w:pStyle w:val="9"/>
        <w:rPr>
          <w:color w:val="000000"/>
        </w:rPr>
      </w:pPr>
      <w:r>
        <w:rPr>
          <w:rFonts w:hint="eastAsia"/>
          <w:color w:val="000000"/>
        </w:rPr>
        <w:t>7.第7行“3.外聘研发人员的劳务费用”：填报纳税人外聘研发人员发生的劳务费用或纳税人与劳务派遣企业签订研发人员劳务用工协议（合同）发生的劳务费用，以及临时聘用研发人员发生的劳务费用。</w:t>
      </w:r>
    </w:p>
    <w:p>
      <w:pPr>
        <w:pStyle w:val="9"/>
        <w:rPr>
          <w:color w:val="000000"/>
        </w:rPr>
      </w:pPr>
      <w:r>
        <w:rPr>
          <w:rFonts w:hint="eastAsia"/>
          <w:color w:val="000000"/>
        </w:rPr>
        <w:t>8.第8行“（二）直接投入费用”：填报第9+10+</w:t>
      </w:r>
      <w:r>
        <w:rPr>
          <w:color w:val="000000"/>
        </w:rPr>
        <w:t>…</w:t>
      </w:r>
      <w:r>
        <w:rPr>
          <w:rFonts w:hint="eastAsia"/>
          <w:color w:val="000000"/>
        </w:rPr>
        <w:t>+16行的合计金额。</w:t>
      </w:r>
    </w:p>
    <w:p>
      <w:pPr>
        <w:pStyle w:val="9"/>
        <w:rPr>
          <w:color w:val="000000"/>
        </w:rPr>
      </w:pPr>
      <w:r>
        <w:rPr>
          <w:rFonts w:hint="eastAsia"/>
          <w:color w:val="000000"/>
        </w:rPr>
        <w:t>9.第9行“1.研发活动直接消耗材料”：填报纳税人研发活动直接消耗材料。</w:t>
      </w:r>
    </w:p>
    <w:p>
      <w:pPr>
        <w:pStyle w:val="9"/>
        <w:rPr>
          <w:color w:val="000000"/>
        </w:rPr>
      </w:pPr>
      <w:r>
        <w:rPr>
          <w:rFonts w:hint="eastAsia"/>
          <w:color w:val="000000"/>
        </w:rPr>
        <w:t>10.第10行“2.研发活动直接消耗燃料”：填报纳税人研发活动直接消耗燃料。</w:t>
      </w:r>
    </w:p>
    <w:p>
      <w:pPr>
        <w:pStyle w:val="9"/>
        <w:rPr>
          <w:color w:val="000000"/>
        </w:rPr>
      </w:pPr>
      <w:r>
        <w:rPr>
          <w:rFonts w:hint="eastAsia"/>
          <w:color w:val="000000"/>
        </w:rPr>
        <w:t>11.第11行“3.研发活动直接消耗动力费用”：填报纳税人研发活动直接消耗的动力费用。</w:t>
      </w:r>
    </w:p>
    <w:p>
      <w:pPr>
        <w:pStyle w:val="9"/>
        <w:rPr>
          <w:color w:val="000000"/>
        </w:rPr>
      </w:pPr>
      <w:r>
        <w:rPr>
          <w:rFonts w:hint="eastAsia"/>
          <w:color w:val="000000"/>
        </w:rPr>
        <w:t>12.第12行“4.用于中间试验和产品试制的模具、工艺装备开发及制造费”：填报纳税人研发活动中用于中间试验和产品试制的模具、工艺装备开发及制造费。</w:t>
      </w:r>
    </w:p>
    <w:p>
      <w:pPr>
        <w:pStyle w:val="9"/>
        <w:rPr>
          <w:color w:val="000000"/>
        </w:rPr>
      </w:pPr>
      <w:r>
        <w:rPr>
          <w:rFonts w:hint="eastAsia"/>
          <w:color w:val="000000"/>
        </w:rPr>
        <w:t>13.第13行“5.用于不构成固定资产的样品、样机及一般测试手段购置费”：填报纳税人研发活动中用于不构成固定资产的样品、样机及一般测试手段购置费。</w:t>
      </w:r>
    </w:p>
    <w:p>
      <w:pPr>
        <w:pStyle w:val="9"/>
        <w:rPr>
          <w:color w:val="000000"/>
        </w:rPr>
      </w:pPr>
      <w:r>
        <w:rPr>
          <w:rFonts w:hint="eastAsia"/>
          <w:color w:val="000000"/>
        </w:rPr>
        <w:t>14.第14行“6.用于试制产品的检验费”：填报纳税人研发活动中用于试制产品的检验费。</w:t>
      </w:r>
    </w:p>
    <w:p>
      <w:pPr>
        <w:pStyle w:val="9"/>
      </w:pPr>
      <w:r>
        <w:rPr>
          <w:rFonts w:hint="eastAsia"/>
        </w:rPr>
        <w:t>15.第15行“7.用于研发活动的仪器、设备的运行维护、调整、检验、维修等费用”：填报纳税人用于研发活动的仪器、设备的运行维护、调整、检验、维修等费用。</w:t>
      </w:r>
    </w:p>
    <w:p>
      <w:pPr>
        <w:pStyle w:val="9"/>
      </w:pPr>
      <w:r>
        <w:rPr>
          <w:rFonts w:hint="eastAsia"/>
        </w:rPr>
        <w:t>16.第16行“8.通过经营租赁方式租入的用于研发活动的仪器、设备租赁费”：填报纳税人经营租赁方式租入的用于研发活动的仪器、设备租赁费。以经营租赁方式租入的用于研发活动的仪器、设备，同时用于非研发活动的，填报按实际工时占比等合理方法分配的用于研发活动的相关费用。</w:t>
      </w:r>
    </w:p>
    <w:p>
      <w:pPr>
        <w:pStyle w:val="9"/>
      </w:pPr>
      <w:r>
        <w:rPr>
          <w:rFonts w:hint="eastAsia"/>
        </w:rPr>
        <w:t>17.第17行“（三）折旧费用”：填报第18+19行的合计金额。</w:t>
      </w:r>
    </w:p>
    <w:p>
      <w:pPr>
        <w:pStyle w:val="9"/>
      </w:pPr>
      <w:r>
        <w:rPr>
          <w:rFonts w:hint="eastAsia"/>
        </w:rPr>
        <w:t>用于研发活动的仪器、设备，同时用于非研发活动的，填报按实际工时占比等合理方法分配的用于研发活动的相关费用。</w:t>
      </w:r>
    </w:p>
    <w:p>
      <w:pPr>
        <w:pStyle w:val="9"/>
      </w:pPr>
      <w:r>
        <w:rPr>
          <w:rFonts w:hint="eastAsia"/>
        </w:rPr>
        <w:t>纳税人用于研发活动的仪器、设备，符合税收规定且选择加速折旧优惠政策的，在享受研发费用税前加计扣除政策时，就税前扣除的折旧部分填报。</w:t>
      </w:r>
    </w:p>
    <w:p>
      <w:pPr>
        <w:pStyle w:val="9"/>
      </w:pPr>
      <w:r>
        <w:rPr>
          <w:rFonts w:hint="eastAsia"/>
        </w:rPr>
        <w:t>18.第18行“1.用于研发活动的仪器的折旧费”：填报纳税人用于研发活动的仪器的折旧费。</w:t>
      </w:r>
    </w:p>
    <w:p>
      <w:pPr>
        <w:pStyle w:val="9"/>
      </w:pPr>
      <w:r>
        <w:rPr>
          <w:rFonts w:hint="eastAsia"/>
        </w:rPr>
        <w:t>19.第19行“2.用于研发活动的设备的折旧费”：填报纳税人用于研发活动的设备的折旧费。</w:t>
      </w:r>
    </w:p>
    <w:p>
      <w:pPr>
        <w:pStyle w:val="9"/>
      </w:pPr>
      <w:r>
        <w:rPr>
          <w:rFonts w:hint="eastAsia"/>
        </w:rPr>
        <w:t>20.第20行“（四）无形资产摊销”：填报第21+22+23行的合计金额。</w:t>
      </w:r>
    </w:p>
    <w:p>
      <w:pPr>
        <w:pStyle w:val="9"/>
      </w:pPr>
      <w:r>
        <w:rPr>
          <w:rFonts w:hint="eastAsia"/>
        </w:rPr>
        <w:t>用于研发活动的无形资产，同时用于非研发活动的，填报按实际工时占比等合理方法在研发费用和生产经营费用间分配的用于研发活动的相关费用。</w:t>
      </w:r>
    </w:p>
    <w:p>
      <w:pPr>
        <w:pStyle w:val="9"/>
      </w:pPr>
      <w:r>
        <w:rPr>
          <w:rFonts w:hint="eastAsia"/>
        </w:rPr>
        <w:t>纳税人用于研发活动的无形资产，符合税收规定且选择加速摊销优惠政策的，在享受研发费用税前加计扣除政策时，就税前扣除的摊销部分填报。</w:t>
      </w:r>
    </w:p>
    <w:p>
      <w:pPr>
        <w:pStyle w:val="9"/>
      </w:pPr>
      <w:r>
        <w:rPr>
          <w:rFonts w:hint="eastAsia"/>
        </w:rPr>
        <w:t>21.第21行“1.用于研发活动的软件的摊销费用”：填报纳税人用于研发活动的软件的摊销费用。</w:t>
      </w:r>
    </w:p>
    <w:p>
      <w:pPr>
        <w:pStyle w:val="9"/>
      </w:pPr>
      <w:r>
        <w:rPr>
          <w:rFonts w:hint="eastAsia"/>
        </w:rPr>
        <w:t>22.第22行“2.用于研发活动的专利权的摊销费用”：填报纳税人用于研发活动的专利权的摊销费用。</w:t>
      </w:r>
    </w:p>
    <w:p>
      <w:pPr>
        <w:pStyle w:val="9"/>
      </w:pPr>
      <w:r>
        <w:rPr>
          <w:rFonts w:hint="eastAsia"/>
        </w:rPr>
        <w:t>23.第23行“3.用于研发活动的非专利技术（包括许可证、专有技术、设计和计算方法等）的摊销费用”：填报纳税人用于研发活动的非专利技术（包括许可证、专有技术、设计和计算方法等）的摊销费用。</w:t>
      </w:r>
    </w:p>
    <w:p>
      <w:pPr>
        <w:pStyle w:val="9"/>
      </w:pPr>
      <w:r>
        <w:rPr>
          <w:rFonts w:hint="eastAsia"/>
        </w:rPr>
        <w:t>24.第24行“（五）新产品设计费等”：填报第25+26+27+28行的合计金额。新产品设计费、新工艺规程制定费、新药研制的临床试验费、勘探开发技术的现场试验费等。由辅助生产部门提供的，期末按照一定的分配标准分配给研发项目的金额填报。</w:t>
      </w:r>
    </w:p>
    <w:p>
      <w:pPr>
        <w:pStyle w:val="9"/>
      </w:pPr>
      <w:r>
        <w:rPr>
          <w:rFonts w:hint="eastAsia"/>
        </w:rPr>
        <w:t>25.第25行“1.新产品设计费”：填报纳税人研发活动中发生的新产品设计费。</w:t>
      </w:r>
    </w:p>
    <w:p>
      <w:pPr>
        <w:pStyle w:val="9"/>
      </w:pPr>
      <w:r>
        <w:rPr>
          <w:rFonts w:hint="eastAsia"/>
        </w:rPr>
        <w:t>26.第26行“2.新工艺规程制定费”：填报纳税人研发活动中发生的新工艺规程制定费。</w:t>
      </w:r>
    </w:p>
    <w:p>
      <w:pPr>
        <w:pStyle w:val="9"/>
      </w:pPr>
      <w:r>
        <w:rPr>
          <w:rFonts w:hint="eastAsia"/>
        </w:rPr>
        <w:t>27.第27行“3.新药研制的临床试验费”：填报纳税人研发活动中发生的新药研制的临床试验费。</w:t>
      </w:r>
    </w:p>
    <w:p>
      <w:pPr>
        <w:pStyle w:val="9"/>
      </w:pPr>
      <w:r>
        <w:rPr>
          <w:rFonts w:hint="eastAsia"/>
        </w:rPr>
        <w:t>28.第28行“4.勘探开发技术的现场试验费”：填报纳税人研发活动中发生的勘探开发技术的现场试验费。</w:t>
      </w:r>
    </w:p>
    <w:p>
      <w:pPr>
        <w:pStyle w:val="9"/>
      </w:pPr>
      <w:r>
        <w:rPr>
          <w:rFonts w:hint="eastAsia"/>
        </w:rPr>
        <w:t>29.第29行“(六)其他相关费用”：填报第30+31+32+33+34行的合计金额。</w:t>
      </w:r>
    </w:p>
    <w:p>
      <w:pPr>
        <w:pStyle w:val="9"/>
        <w:rPr>
          <w:color w:val="000000"/>
        </w:rPr>
      </w:pPr>
      <w:r>
        <w:rPr>
          <w:rFonts w:hint="eastAsia"/>
          <w:color w:val="000000"/>
        </w:rPr>
        <w:t>30.第30行“1.技术图书资料费、资料翻译费、专家咨询费、高新科技研发保险费”：填报纳税人研发活动中发生的技术图书资料费、资料翻译费、专家咨询费、高新科技研发保险费。</w:t>
      </w:r>
    </w:p>
    <w:p>
      <w:pPr>
        <w:pStyle w:val="9"/>
        <w:rPr>
          <w:color w:val="000000"/>
        </w:rPr>
      </w:pPr>
      <w:r>
        <w:rPr>
          <w:rFonts w:hint="eastAsia"/>
          <w:color w:val="000000"/>
        </w:rPr>
        <w:t>31.第31行“2.研发成果的检索、分析、评议、论证、鉴定、评审、评估、验收费用”：填报纳税人研发活动中发生的对研发成果的检索、分析、评议、论证、鉴定、评审、评估、验收费用。</w:t>
      </w:r>
    </w:p>
    <w:p>
      <w:pPr>
        <w:pStyle w:val="9"/>
        <w:rPr>
          <w:color w:val="000000"/>
        </w:rPr>
      </w:pPr>
      <w:r>
        <w:rPr>
          <w:rFonts w:hint="eastAsia"/>
          <w:color w:val="000000"/>
        </w:rPr>
        <w:t>32.第32行“3.知识产权的申请费、注册费、代理费”：填报纳税人研发活动中发生的知识产权的申请费、注册费、代理费。</w:t>
      </w:r>
    </w:p>
    <w:p>
      <w:pPr>
        <w:pStyle w:val="9"/>
        <w:rPr>
          <w:color w:val="000000"/>
        </w:rPr>
      </w:pPr>
      <w:r>
        <w:rPr>
          <w:rFonts w:hint="eastAsia"/>
          <w:color w:val="000000"/>
        </w:rPr>
        <w:t>33.第33行“4.职工福利费、补充养老保险费、补充医疗保险费”：填报纳税人研发活动人员发生的职工福利费、补充养老保险费、补充医疗保险费。</w:t>
      </w:r>
    </w:p>
    <w:p>
      <w:pPr>
        <w:pStyle w:val="9"/>
        <w:rPr>
          <w:color w:val="000000"/>
        </w:rPr>
      </w:pPr>
      <w:r>
        <w:rPr>
          <w:rFonts w:hint="eastAsia"/>
          <w:color w:val="000000"/>
        </w:rPr>
        <w:t>34.第34行“5.差旅费、会议费”：填报纳税人研发活动发生的差旅费、会议费。</w:t>
      </w:r>
    </w:p>
    <w:p>
      <w:pPr>
        <w:pStyle w:val="9"/>
        <w:rPr>
          <w:color w:val="000000"/>
        </w:rPr>
      </w:pPr>
      <w:r>
        <w:rPr>
          <w:rFonts w:hint="eastAsia"/>
          <w:color w:val="000000"/>
        </w:rPr>
        <w:t>35.第35行“(七)经限额调整后的其他相关费用”：根据研发活动分析汇总填报。</w:t>
      </w:r>
    </w:p>
    <w:p>
      <w:pPr>
        <w:pStyle w:val="9"/>
        <w:rPr>
          <w:color w:val="000000"/>
        </w:rPr>
      </w:pPr>
      <w:r>
        <w:rPr>
          <w:rFonts w:hint="eastAsia"/>
          <w:color w:val="000000"/>
        </w:rPr>
        <w:t>36.第36行“二、委托研发”：填报(37-38)行×80%的金额。</w:t>
      </w:r>
    </w:p>
    <w:p>
      <w:pPr>
        <w:pStyle w:val="9"/>
        <w:rPr>
          <w:color w:val="000000"/>
        </w:rPr>
      </w:pPr>
      <w:r>
        <w:rPr>
          <w:rFonts w:hint="eastAsia"/>
          <w:color w:val="000000"/>
        </w:rPr>
        <w:t>37.第37行“委托外部机构或个人进行研发活动所发生的费用”：填报纳税人研发项目委托外部机构或个人所发生的费用。</w:t>
      </w:r>
    </w:p>
    <w:p>
      <w:pPr>
        <w:pStyle w:val="9"/>
        <w:rPr>
          <w:color w:val="000000"/>
        </w:rPr>
      </w:pPr>
      <w:r>
        <w:rPr>
          <w:rFonts w:hint="eastAsia"/>
          <w:color w:val="000000"/>
        </w:rPr>
        <w:t>38.第38行“其中：委托境外进行研发活动所发生的费用”：填报纳税人研发项目委托境外进行研发活动所发生的费用。</w:t>
      </w:r>
    </w:p>
    <w:p>
      <w:pPr>
        <w:pStyle w:val="9"/>
        <w:rPr>
          <w:color w:val="000000"/>
        </w:rPr>
      </w:pPr>
      <w:r>
        <w:rPr>
          <w:rFonts w:hint="eastAsia"/>
          <w:color w:val="000000"/>
        </w:rPr>
        <w:t>39.第39行“三、年度可加计扣除的研发费用小计”：填报第3+36行的合计金额。</w:t>
      </w:r>
    </w:p>
    <w:p>
      <w:pPr>
        <w:pStyle w:val="9"/>
        <w:rPr>
          <w:color w:val="000000"/>
        </w:rPr>
      </w:pPr>
      <w:r>
        <w:rPr>
          <w:rFonts w:hint="eastAsia"/>
          <w:color w:val="000000"/>
        </w:rPr>
        <w:t>40.第40行“（一）本年费用化金额”：填报按第39行归集的本年费用化部分金额。</w:t>
      </w:r>
    </w:p>
    <w:p>
      <w:pPr>
        <w:pStyle w:val="9"/>
        <w:rPr>
          <w:color w:val="000000"/>
        </w:rPr>
      </w:pPr>
      <w:r>
        <w:rPr>
          <w:rFonts w:hint="eastAsia"/>
          <w:color w:val="000000"/>
        </w:rPr>
        <w:t>41.第41行“（二）本年资本化金额”：填报纳税人研发活动本年结转无形资产的金额。</w:t>
      </w:r>
    </w:p>
    <w:p>
      <w:pPr>
        <w:pStyle w:val="9"/>
        <w:rPr>
          <w:color w:val="000000"/>
        </w:rPr>
      </w:pPr>
      <w:r>
        <w:rPr>
          <w:rFonts w:hint="eastAsia"/>
          <w:color w:val="000000"/>
        </w:rPr>
        <w:t>42.第42行“四、本年形成无形资产摊销额”：填报纳税人研发活动本年形成无形资产的摊销额。</w:t>
      </w:r>
    </w:p>
    <w:p>
      <w:pPr>
        <w:pStyle w:val="9"/>
        <w:rPr>
          <w:color w:val="000000"/>
        </w:rPr>
      </w:pPr>
      <w:r>
        <w:rPr>
          <w:rFonts w:hint="eastAsia"/>
          <w:color w:val="000000"/>
        </w:rPr>
        <w:t>43.第43行“五、以前年度形成无形资产本年摊销额”：填报纳税人研发活动以前年度形成无形资产本年摊销额。</w:t>
      </w:r>
    </w:p>
    <w:p>
      <w:pPr>
        <w:pStyle w:val="9"/>
        <w:rPr>
          <w:color w:val="000000"/>
        </w:rPr>
      </w:pPr>
      <w:r>
        <w:rPr>
          <w:rFonts w:hint="eastAsia"/>
          <w:color w:val="000000"/>
        </w:rPr>
        <w:t>44.第44行“六、允许扣除的研发费用合计”：填报第40+42+43行的合计金额。</w:t>
      </w:r>
    </w:p>
    <w:p>
      <w:pPr>
        <w:pStyle w:val="9"/>
        <w:rPr>
          <w:color w:val="000000"/>
        </w:rPr>
      </w:pPr>
      <w:r>
        <w:rPr>
          <w:rFonts w:hint="eastAsia"/>
          <w:color w:val="000000"/>
        </w:rPr>
        <w:t>45.第45行“减：特殊收入部分”：填报纳税人已归集计入研发费用，但在当期取得的研发过程中形成的下脚料、残次品、中间试制品等特殊收入。</w:t>
      </w:r>
    </w:p>
    <w:p>
      <w:pPr>
        <w:pStyle w:val="9"/>
        <w:rPr>
          <w:color w:val="000000"/>
        </w:rPr>
      </w:pPr>
      <w:r>
        <w:rPr>
          <w:rFonts w:hint="eastAsia"/>
          <w:color w:val="000000"/>
        </w:rPr>
        <w:t>46.第46行“七、允许扣除的研发费用抵减特殊收入后的金额”：填报第44-45行的余额。</w:t>
      </w:r>
    </w:p>
    <w:p>
      <w:pPr>
        <w:pStyle w:val="9"/>
        <w:rPr>
          <w:color w:val="000000"/>
        </w:rPr>
      </w:pPr>
      <w:r>
        <w:rPr>
          <w:rFonts w:hint="eastAsia"/>
          <w:color w:val="000000"/>
        </w:rPr>
        <w:t>47.第47行“减：当年销售研发活动直接形成产品（包括组成部分）对应的材料部分”：填报纳税人当年销售研发活动直接形成产品（包括组成部分）对应的材料部分。</w:t>
      </w:r>
    </w:p>
    <w:p>
      <w:pPr>
        <w:pStyle w:val="9"/>
        <w:rPr>
          <w:color w:val="000000"/>
        </w:rPr>
      </w:pPr>
      <w:r>
        <w:rPr>
          <w:rFonts w:hint="eastAsia"/>
          <w:color w:val="000000"/>
        </w:rPr>
        <w:t>48.第48行“以前年度销售研发活动直接形成产品（包括组成部分）对应材料部分结转金额”：填报纳税人以前年度销售研发活动直接形成产品（包括组成部分）对应材料部分结转金额。</w:t>
      </w:r>
    </w:p>
    <w:p>
      <w:pPr>
        <w:pStyle w:val="9"/>
        <w:rPr>
          <w:color w:val="000000"/>
        </w:rPr>
      </w:pPr>
      <w:r>
        <w:rPr>
          <w:rFonts w:hint="eastAsia"/>
          <w:color w:val="000000"/>
        </w:rPr>
        <w:t>49.第49行“八、加计扣除比例”：纳税人为科技型中小企业的填报75%，其他企业填报50%。</w:t>
      </w:r>
    </w:p>
    <w:p>
      <w:pPr>
        <w:pStyle w:val="9"/>
        <w:rPr>
          <w:color w:val="000000"/>
        </w:rPr>
      </w:pPr>
      <w:r>
        <w:rPr>
          <w:rFonts w:hint="eastAsia"/>
          <w:color w:val="000000"/>
        </w:rPr>
        <w:t>50.第50行“九、本年研发费用加计扣除总额”：填报第（46-47-48）×49行的金额，当46-47-48＜</w:t>
      </w:r>
      <w:r>
        <w:rPr>
          <w:color w:val="000000"/>
        </w:rPr>
        <w:t>0</w:t>
      </w:r>
      <w:r>
        <w:rPr>
          <w:rFonts w:hint="eastAsia"/>
          <w:color w:val="000000"/>
        </w:rPr>
        <w:t>时，本行＝0。</w:t>
      </w:r>
    </w:p>
    <w:p>
      <w:pPr>
        <w:pStyle w:val="9"/>
        <w:rPr>
          <w:color w:val="000000"/>
        </w:rPr>
      </w:pPr>
      <w:r>
        <w:rPr>
          <w:rFonts w:hint="eastAsia"/>
          <w:color w:val="000000"/>
        </w:rPr>
        <w:t>51.第51行“十、销售研发活动直接形成产品（包括组成部分）对应材料部分结转以后年度扣减金额”：若第46-47-48行≥0，本行＝0；若第46-47-48行＜0，本行＝第46-47-48行的绝对值。</w:t>
      </w:r>
    </w:p>
    <w:p>
      <w:pPr>
        <w:pStyle w:val="11"/>
        <w:ind w:firstLine="482"/>
      </w:pPr>
      <w:r>
        <w:rPr>
          <w:rFonts w:hint="eastAsia"/>
        </w:rPr>
        <w:t>二、表内、表间关系</w:t>
      </w:r>
    </w:p>
    <w:p>
      <w:pPr>
        <w:pStyle w:val="12"/>
        <w:rPr>
          <w:color w:val="000000"/>
        </w:rPr>
      </w:pPr>
      <w:r>
        <w:rPr>
          <w:rFonts w:hint="eastAsia"/>
          <w:color w:val="000000"/>
        </w:rPr>
        <w:t>（一）表内关系</w:t>
      </w:r>
    </w:p>
    <w:p>
      <w:pPr>
        <w:pStyle w:val="9"/>
        <w:rPr>
          <w:color w:val="000000"/>
        </w:rPr>
      </w:pPr>
      <w:r>
        <w:rPr>
          <w:rFonts w:hint="eastAsia"/>
          <w:color w:val="000000"/>
        </w:rPr>
        <w:t>1.第3行＝第4+8+17+20+24+35行。</w:t>
      </w:r>
    </w:p>
    <w:p>
      <w:pPr>
        <w:pStyle w:val="9"/>
        <w:rPr>
          <w:color w:val="000000"/>
        </w:rPr>
      </w:pPr>
      <w:r>
        <w:rPr>
          <w:rFonts w:hint="eastAsia"/>
          <w:color w:val="000000"/>
        </w:rPr>
        <w:t>2.第4行＝第5+6+7行。</w:t>
      </w:r>
    </w:p>
    <w:p>
      <w:pPr>
        <w:pStyle w:val="9"/>
        <w:rPr>
          <w:color w:val="000000"/>
        </w:rPr>
      </w:pPr>
      <w:r>
        <w:rPr>
          <w:rFonts w:hint="eastAsia"/>
          <w:color w:val="000000"/>
        </w:rPr>
        <w:t>3.第8行＝第9+10+…+16行。</w:t>
      </w:r>
    </w:p>
    <w:p>
      <w:pPr>
        <w:pStyle w:val="9"/>
        <w:rPr>
          <w:color w:val="000000"/>
        </w:rPr>
      </w:pPr>
      <w:r>
        <w:rPr>
          <w:rFonts w:hint="eastAsia"/>
          <w:color w:val="000000"/>
        </w:rPr>
        <w:t>4.第17行＝第18+19行。</w:t>
      </w:r>
    </w:p>
    <w:p>
      <w:pPr>
        <w:pStyle w:val="9"/>
        <w:rPr>
          <w:color w:val="000000"/>
        </w:rPr>
      </w:pPr>
      <w:r>
        <w:rPr>
          <w:rFonts w:hint="eastAsia"/>
          <w:color w:val="000000"/>
        </w:rPr>
        <w:t>5.第20行＝第21+22+23行。</w:t>
      </w:r>
    </w:p>
    <w:p>
      <w:pPr>
        <w:pStyle w:val="9"/>
        <w:rPr>
          <w:color w:val="000000"/>
        </w:rPr>
      </w:pPr>
      <w:r>
        <w:rPr>
          <w:rFonts w:hint="eastAsia"/>
          <w:color w:val="000000"/>
        </w:rPr>
        <w:t>6.第24行＝第25+26+27+28行。</w:t>
      </w:r>
    </w:p>
    <w:p>
      <w:pPr>
        <w:pStyle w:val="9"/>
        <w:rPr>
          <w:color w:val="000000"/>
        </w:rPr>
      </w:pPr>
      <w:r>
        <w:rPr>
          <w:rFonts w:hint="eastAsia"/>
          <w:color w:val="000000"/>
        </w:rPr>
        <w:t>7.第29行＝第30+31+32+33+34行。</w:t>
      </w:r>
    </w:p>
    <w:p>
      <w:pPr>
        <w:pStyle w:val="9"/>
        <w:rPr>
          <w:color w:val="000000"/>
        </w:rPr>
      </w:pPr>
      <w:r>
        <w:rPr>
          <w:rFonts w:hint="eastAsia"/>
          <w:color w:val="000000"/>
        </w:rPr>
        <w:t>8.第36行＝第(37-38)行×80%。</w:t>
      </w:r>
    </w:p>
    <w:p>
      <w:pPr>
        <w:pStyle w:val="9"/>
        <w:rPr>
          <w:color w:val="000000"/>
        </w:rPr>
      </w:pPr>
      <w:r>
        <w:rPr>
          <w:rFonts w:hint="eastAsia"/>
          <w:color w:val="000000"/>
        </w:rPr>
        <w:t>9.第39行＝第3+36行</w:t>
      </w:r>
    </w:p>
    <w:p>
      <w:pPr>
        <w:pStyle w:val="9"/>
        <w:rPr>
          <w:color w:val="000000"/>
        </w:rPr>
      </w:pPr>
      <w:r>
        <w:rPr>
          <w:rFonts w:hint="eastAsia"/>
          <w:color w:val="000000"/>
        </w:rPr>
        <w:t>10.第44行＝第40+42+43行。</w:t>
      </w:r>
    </w:p>
    <w:p>
      <w:pPr>
        <w:pStyle w:val="9"/>
        <w:rPr>
          <w:color w:val="000000"/>
        </w:rPr>
      </w:pPr>
      <w:r>
        <w:rPr>
          <w:rFonts w:hint="eastAsia"/>
          <w:color w:val="000000"/>
        </w:rPr>
        <w:t>11.第46行＝第44-45行。</w:t>
      </w:r>
    </w:p>
    <w:p>
      <w:pPr>
        <w:pStyle w:val="9"/>
        <w:rPr>
          <w:color w:val="000000"/>
        </w:rPr>
      </w:pPr>
      <w:r>
        <w:rPr>
          <w:rFonts w:hint="eastAsia"/>
          <w:color w:val="000000"/>
        </w:rPr>
        <w:t>12.第50行＝第（46-47-48）×49行，当46-47-48＜0时，本行＝</w:t>
      </w:r>
      <w:r>
        <w:rPr>
          <w:color w:val="000000"/>
        </w:rPr>
        <w:t>0</w:t>
      </w:r>
      <w:r>
        <w:rPr>
          <w:rFonts w:hint="eastAsia"/>
          <w:color w:val="000000"/>
        </w:rPr>
        <w:t>。</w:t>
      </w:r>
    </w:p>
    <w:p>
      <w:pPr>
        <w:pStyle w:val="9"/>
        <w:rPr>
          <w:color w:val="000000"/>
        </w:rPr>
      </w:pPr>
      <w:r>
        <w:rPr>
          <w:rFonts w:hint="eastAsia"/>
          <w:color w:val="000000"/>
        </w:rPr>
        <w:t>13.若第46-47-48行≥0，第51行＝0；若第46-47-48行＜0，第51行＝第46-47-48行的绝对值。</w:t>
      </w:r>
    </w:p>
    <w:p>
      <w:pPr>
        <w:pStyle w:val="12"/>
        <w:rPr>
          <w:color w:val="000000"/>
        </w:rPr>
      </w:pPr>
      <w:r>
        <w:rPr>
          <w:rFonts w:hint="eastAsia"/>
          <w:color w:val="000000"/>
        </w:rPr>
        <w:t>（二）表间关系</w:t>
      </w:r>
    </w:p>
    <w:p>
      <w:pPr>
        <w:pStyle w:val="9"/>
        <w:rPr>
          <w:color w:val="000000"/>
        </w:rPr>
      </w:pPr>
      <w:r>
        <w:rPr>
          <w:rFonts w:hint="eastAsia"/>
          <w:color w:val="000000"/>
        </w:rPr>
        <w:t>1.当“□一般企业 □科技型中小企业”选“一般企业”时，第50行＝表A107010第26行。</w:t>
      </w:r>
    </w:p>
    <w:p>
      <w:pPr>
        <w:pStyle w:val="9"/>
        <w:rPr>
          <w:color w:val="000000"/>
        </w:rPr>
      </w:pPr>
      <w:r>
        <w:rPr>
          <w:rFonts w:hint="eastAsia"/>
          <w:color w:val="000000"/>
        </w:rPr>
        <w:t>2.当“□一般企业 □科技型中小企业”为“科技型中小企业”时，第50行＝表A107010第27行。</w:t>
      </w:r>
    </w:p>
    <w:p>
      <w:pPr>
        <w:pStyle w:val="9"/>
        <w:rPr>
          <w:color w:val="000000"/>
        </w:rPr>
        <w:sectPr>
          <w:pgSz w:w="11906" w:h="16838"/>
          <w:pgMar w:top="1985" w:right="1418" w:bottom="1928" w:left="1418" w:header="851" w:footer="992" w:gutter="113"/>
          <w:cols w:space="425" w:num="1"/>
          <w:docGrid w:linePitch="312" w:charSpace="0"/>
        </w:sectPr>
      </w:pPr>
    </w:p>
    <w:p>
      <w:pPr>
        <w:pStyle w:val="13"/>
      </w:pPr>
      <w:bookmarkStart w:id="85" w:name="_Toc499456603"/>
      <w:r>
        <w:rPr>
          <w:rFonts w:hint="eastAsia"/>
        </w:rPr>
        <w:t>A107020</w:t>
      </w:r>
      <w:r>
        <w:tab/>
      </w:r>
      <w:r>
        <w:rPr>
          <w:rFonts w:hint="eastAsia"/>
        </w:rPr>
        <w:t>所得减免优惠明细表</w:t>
      </w:r>
      <w:bookmarkEnd w:id="85"/>
    </w:p>
    <w:tbl>
      <w:tblPr>
        <w:tblStyle w:val="7"/>
        <w:tblW w:w="1397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0"/>
        <w:gridCol w:w="1833"/>
        <w:gridCol w:w="731"/>
        <w:gridCol w:w="1060"/>
        <w:gridCol w:w="809"/>
        <w:gridCol w:w="1060"/>
        <w:gridCol w:w="1060"/>
        <w:gridCol w:w="938"/>
        <w:gridCol w:w="1060"/>
        <w:gridCol w:w="1060"/>
        <w:gridCol w:w="1060"/>
        <w:gridCol w:w="1060"/>
        <w:gridCol w:w="16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3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833"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减免项目</w:t>
            </w:r>
          </w:p>
        </w:tc>
        <w:tc>
          <w:tcPr>
            <w:tcW w:w="731"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06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优惠事项名称</w:t>
            </w:r>
          </w:p>
        </w:tc>
        <w:tc>
          <w:tcPr>
            <w:tcW w:w="809"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优惠方式</w:t>
            </w:r>
          </w:p>
        </w:tc>
        <w:tc>
          <w:tcPr>
            <w:tcW w:w="106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项目收入</w:t>
            </w:r>
          </w:p>
        </w:tc>
        <w:tc>
          <w:tcPr>
            <w:tcW w:w="106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项目成本</w:t>
            </w:r>
          </w:p>
        </w:tc>
        <w:tc>
          <w:tcPr>
            <w:tcW w:w="938"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相关税费</w:t>
            </w:r>
          </w:p>
        </w:tc>
        <w:tc>
          <w:tcPr>
            <w:tcW w:w="106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应分摊期间费用</w:t>
            </w:r>
          </w:p>
        </w:tc>
        <w:tc>
          <w:tcPr>
            <w:tcW w:w="106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纳税调整额</w:t>
            </w:r>
          </w:p>
        </w:tc>
        <w:tc>
          <w:tcPr>
            <w:tcW w:w="2120"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项目所得额</w:t>
            </w:r>
          </w:p>
        </w:tc>
        <w:tc>
          <w:tcPr>
            <w:tcW w:w="1609"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减免所得额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30" w:type="dxa"/>
            <w:vMerge w:val="continue"/>
            <w:shd w:val="clear" w:color="auto" w:fill="auto"/>
            <w:vAlign w:val="center"/>
          </w:tcPr>
          <w:p>
            <w:pPr>
              <w:widowControl/>
              <w:jc w:val="left"/>
              <w:rPr>
                <w:rFonts w:ascii="宋体" w:hAnsi="宋体" w:cs="宋体"/>
                <w:kern w:val="0"/>
                <w:sz w:val="20"/>
                <w:szCs w:val="20"/>
              </w:rPr>
            </w:pPr>
          </w:p>
        </w:tc>
        <w:tc>
          <w:tcPr>
            <w:tcW w:w="1833" w:type="dxa"/>
            <w:vMerge w:val="continue"/>
            <w:shd w:val="clear" w:color="auto" w:fill="auto"/>
            <w:vAlign w:val="center"/>
          </w:tcPr>
          <w:p>
            <w:pPr>
              <w:widowControl/>
              <w:jc w:val="left"/>
              <w:rPr>
                <w:rFonts w:ascii="宋体" w:hAnsi="宋体" w:cs="宋体"/>
                <w:kern w:val="0"/>
                <w:sz w:val="20"/>
                <w:szCs w:val="20"/>
              </w:rPr>
            </w:pPr>
          </w:p>
        </w:tc>
        <w:tc>
          <w:tcPr>
            <w:tcW w:w="731" w:type="dxa"/>
            <w:vMerge w:val="continue"/>
            <w:shd w:val="clear" w:color="auto" w:fill="auto"/>
            <w:vAlign w:val="center"/>
          </w:tcPr>
          <w:p>
            <w:pPr>
              <w:widowControl/>
              <w:jc w:val="left"/>
              <w:rPr>
                <w:rFonts w:ascii="宋体" w:hAnsi="宋体" w:cs="宋体"/>
                <w:kern w:val="0"/>
                <w:sz w:val="20"/>
                <w:szCs w:val="20"/>
              </w:rPr>
            </w:pPr>
          </w:p>
        </w:tc>
        <w:tc>
          <w:tcPr>
            <w:tcW w:w="1060" w:type="dxa"/>
            <w:vMerge w:val="continue"/>
            <w:shd w:val="clear" w:color="auto" w:fill="auto"/>
            <w:vAlign w:val="center"/>
          </w:tcPr>
          <w:p>
            <w:pPr>
              <w:widowControl/>
              <w:jc w:val="left"/>
              <w:rPr>
                <w:rFonts w:ascii="宋体" w:hAnsi="宋体" w:cs="宋体"/>
                <w:kern w:val="0"/>
                <w:sz w:val="20"/>
                <w:szCs w:val="20"/>
              </w:rPr>
            </w:pPr>
          </w:p>
        </w:tc>
        <w:tc>
          <w:tcPr>
            <w:tcW w:w="809" w:type="dxa"/>
            <w:vMerge w:val="continue"/>
            <w:shd w:val="clear" w:color="auto" w:fill="auto"/>
            <w:vAlign w:val="center"/>
          </w:tcPr>
          <w:p>
            <w:pPr>
              <w:widowControl/>
              <w:jc w:val="left"/>
              <w:rPr>
                <w:rFonts w:ascii="宋体" w:hAnsi="宋体" w:cs="宋体"/>
                <w:kern w:val="0"/>
                <w:sz w:val="20"/>
                <w:szCs w:val="20"/>
              </w:rPr>
            </w:pPr>
          </w:p>
        </w:tc>
        <w:tc>
          <w:tcPr>
            <w:tcW w:w="1060" w:type="dxa"/>
            <w:vMerge w:val="continue"/>
            <w:shd w:val="clear" w:color="auto" w:fill="auto"/>
            <w:vAlign w:val="center"/>
          </w:tcPr>
          <w:p>
            <w:pPr>
              <w:widowControl/>
              <w:jc w:val="left"/>
              <w:rPr>
                <w:rFonts w:ascii="宋体" w:hAnsi="宋体" w:cs="宋体"/>
                <w:kern w:val="0"/>
                <w:sz w:val="20"/>
                <w:szCs w:val="20"/>
              </w:rPr>
            </w:pPr>
          </w:p>
        </w:tc>
        <w:tc>
          <w:tcPr>
            <w:tcW w:w="1060" w:type="dxa"/>
            <w:vMerge w:val="continue"/>
            <w:shd w:val="clear" w:color="auto" w:fill="auto"/>
            <w:vAlign w:val="center"/>
          </w:tcPr>
          <w:p>
            <w:pPr>
              <w:widowControl/>
              <w:jc w:val="left"/>
              <w:rPr>
                <w:rFonts w:ascii="宋体" w:hAnsi="宋体" w:cs="宋体"/>
                <w:kern w:val="0"/>
                <w:sz w:val="20"/>
                <w:szCs w:val="20"/>
              </w:rPr>
            </w:pPr>
          </w:p>
        </w:tc>
        <w:tc>
          <w:tcPr>
            <w:tcW w:w="938" w:type="dxa"/>
            <w:vMerge w:val="continue"/>
            <w:shd w:val="clear" w:color="auto" w:fill="auto"/>
            <w:vAlign w:val="center"/>
          </w:tcPr>
          <w:p>
            <w:pPr>
              <w:widowControl/>
              <w:jc w:val="left"/>
              <w:rPr>
                <w:rFonts w:ascii="宋体" w:hAnsi="宋体" w:cs="宋体"/>
                <w:kern w:val="0"/>
                <w:sz w:val="20"/>
                <w:szCs w:val="20"/>
              </w:rPr>
            </w:pPr>
          </w:p>
        </w:tc>
        <w:tc>
          <w:tcPr>
            <w:tcW w:w="1060" w:type="dxa"/>
            <w:vMerge w:val="continue"/>
            <w:shd w:val="clear" w:color="auto" w:fill="auto"/>
            <w:vAlign w:val="center"/>
          </w:tcPr>
          <w:p>
            <w:pPr>
              <w:widowControl/>
              <w:jc w:val="left"/>
              <w:rPr>
                <w:rFonts w:ascii="宋体" w:hAnsi="宋体" w:cs="宋体"/>
                <w:kern w:val="0"/>
                <w:sz w:val="20"/>
                <w:szCs w:val="20"/>
              </w:rPr>
            </w:pPr>
          </w:p>
        </w:tc>
        <w:tc>
          <w:tcPr>
            <w:tcW w:w="1060" w:type="dxa"/>
            <w:vMerge w:val="continue"/>
            <w:shd w:val="clear" w:color="auto" w:fill="auto"/>
            <w:vAlign w:val="center"/>
          </w:tcPr>
          <w:p>
            <w:pPr>
              <w:widowControl/>
              <w:jc w:val="left"/>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免税项目</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减半项目</w:t>
            </w:r>
          </w:p>
        </w:tc>
        <w:tc>
          <w:tcPr>
            <w:tcW w:w="1609" w:type="dxa"/>
            <w:vMerge w:val="continue"/>
            <w:vAlign w:val="center"/>
          </w:tcPr>
          <w:p>
            <w:pPr>
              <w:widowControl/>
              <w:jc w:val="lef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30" w:type="dxa"/>
            <w:vMerge w:val="continue"/>
            <w:shd w:val="clear" w:color="auto" w:fill="auto"/>
            <w:vAlign w:val="center"/>
          </w:tcPr>
          <w:p>
            <w:pPr>
              <w:widowControl/>
              <w:jc w:val="left"/>
              <w:rPr>
                <w:rFonts w:ascii="宋体" w:hAnsi="宋体" w:cs="宋体"/>
                <w:kern w:val="0"/>
                <w:sz w:val="20"/>
                <w:szCs w:val="20"/>
              </w:rPr>
            </w:pPr>
          </w:p>
        </w:tc>
        <w:tc>
          <w:tcPr>
            <w:tcW w:w="1833" w:type="dxa"/>
            <w:vMerge w:val="continue"/>
            <w:shd w:val="clear" w:color="auto" w:fill="auto"/>
            <w:vAlign w:val="center"/>
          </w:tcPr>
          <w:p>
            <w:pPr>
              <w:widowControl/>
              <w:jc w:val="left"/>
              <w:rPr>
                <w:rFonts w:ascii="宋体" w:hAnsi="宋体" w:cs="宋体"/>
                <w:kern w:val="0"/>
                <w:sz w:val="20"/>
                <w:szCs w:val="20"/>
              </w:rPr>
            </w:pPr>
          </w:p>
        </w:tc>
        <w:tc>
          <w:tcPr>
            <w:tcW w:w="73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0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93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0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11(9+10×50%)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833" w:type="dxa"/>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一、农、林、牧、渔业项目</w:t>
            </w:r>
          </w:p>
        </w:tc>
        <w:tc>
          <w:tcPr>
            <w:tcW w:w="731"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0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8"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60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833" w:type="dxa"/>
            <w:vMerge w:val="continue"/>
            <w:shd w:val="clear" w:color="auto" w:fill="auto"/>
            <w:vAlign w:val="center"/>
          </w:tcPr>
          <w:p>
            <w:pPr>
              <w:widowControl/>
              <w:jc w:val="left"/>
              <w:rPr>
                <w:rFonts w:ascii="宋体" w:hAnsi="宋体" w:cs="宋体"/>
                <w:kern w:val="0"/>
                <w:sz w:val="20"/>
                <w:szCs w:val="20"/>
              </w:rPr>
            </w:pPr>
          </w:p>
        </w:tc>
        <w:tc>
          <w:tcPr>
            <w:tcW w:w="731"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0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38"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609"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833" w:type="dxa"/>
            <w:vMerge w:val="continue"/>
            <w:shd w:val="clear" w:color="auto" w:fill="auto"/>
            <w:vAlign w:val="center"/>
          </w:tcPr>
          <w:p>
            <w:pPr>
              <w:widowControl/>
              <w:jc w:val="left"/>
              <w:rPr>
                <w:rFonts w:ascii="宋体" w:hAnsi="宋体" w:cs="宋体"/>
                <w:kern w:val="0"/>
                <w:sz w:val="20"/>
                <w:szCs w:val="20"/>
              </w:rPr>
            </w:pPr>
          </w:p>
        </w:tc>
        <w:tc>
          <w:tcPr>
            <w:tcW w:w="73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小计</w:t>
            </w:r>
          </w:p>
        </w:tc>
        <w:tc>
          <w:tcPr>
            <w:tcW w:w="106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0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938"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right"/>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60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833" w:type="dxa"/>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二、国家重点扶持的公共基础设施项目</w:t>
            </w:r>
          </w:p>
        </w:tc>
        <w:tc>
          <w:tcPr>
            <w:tcW w:w="731"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809"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938"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right"/>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60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833" w:type="dxa"/>
            <w:vMerge w:val="continue"/>
            <w:shd w:val="clear" w:color="auto" w:fill="auto"/>
            <w:vAlign w:val="center"/>
          </w:tcPr>
          <w:p>
            <w:pPr>
              <w:widowControl/>
              <w:jc w:val="left"/>
              <w:rPr>
                <w:rFonts w:ascii="宋体" w:hAnsi="宋体" w:cs="宋体"/>
                <w:kern w:val="0"/>
                <w:sz w:val="20"/>
                <w:szCs w:val="20"/>
              </w:rPr>
            </w:pPr>
          </w:p>
        </w:tc>
        <w:tc>
          <w:tcPr>
            <w:tcW w:w="731"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809"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938"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right"/>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60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833" w:type="dxa"/>
            <w:vMerge w:val="continue"/>
            <w:shd w:val="clear" w:color="auto" w:fill="auto"/>
            <w:vAlign w:val="center"/>
          </w:tcPr>
          <w:p>
            <w:pPr>
              <w:widowControl/>
              <w:jc w:val="left"/>
              <w:rPr>
                <w:rFonts w:ascii="宋体" w:hAnsi="宋体" w:cs="宋体"/>
                <w:kern w:val="0"/>
                <w:sz w:val="20"/>
                <w:szCs w:val="20"/>
              </w:rPr>
            </w:pPr>
          </w:p>
        </w:tc>
        <w:tc>
          <w:tcPr>
            <w:tcW w:w="73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小计</w:t>
            </w:r>
          </w:p>
        </w:tc>
        <w:tc>
          <w:tcPr>
            <w:tcW w:w="106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0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938"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60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833" w:type="dxa"/>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三、符合条件的环境保护、节能节水项目</w:t>
            </w:r>
          </w:p>
        </w:tc>
        <w:tc>
          <w:tcPr>
            <w:tcW w:w="731"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809"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18"/>
                <w:szCs w:val="18"/>
              </w:rPr>
            </w:pPr>
          </w:p>
        </w:tc>
        <w:tc>
          <w:tcPr>
            <w:tcW w:w="938"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60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833" w:type="dxa"/>
            <w:vMerge w:val="continue"/>
            <w:shd w:val="clear" w:color="auto" w:fill="auto"/>
            <w:vAlign w:val="center"/>
          </w:tcPr>
          <w:p>
            <w:pPr>
              <w:widowControl/>
              <w:jc w:val="left"/>
              <w:rPr>
                <w:rFonts w:ascii="宋体" w:hAnsi="宋体" w:cs="宋体"/>
                <w:kern w:val="0"/>
                <w:sz w:val="20"/>
                <w:szCs w:val="20"/>
              </w:rPr>
            </w:pPr>
          </w:p>
        </w:tc>
        <w:tc>
          <w:tcPr>
            <w:tcW w:w="731"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809"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938"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60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833" w:type="dxa"/>
            <w:vMerge w:val="continue"/>
            <w:shd w:val="clear" w:color="auto" w:fill="auto"/>
            <w:vAlign w:val="center"/>
          </w:tcPr>
          <w:p>
            <w:pPr>
              <w:widowControl/>
              <w:jc w:val="left"/>
              <w:rPr>
                <w:rFonts w:ascii="宋体" w:hAnsi="宋体" w:cs="宋体"/>
                <w:kern w:val="0"/>
                <w:sz w:val="20"/>
                <w:szCs w:val="20"/>
              </w:rPr>
            </w:pPr>
          </w:p>
        </w:tc>
        <w:tc>
          <w:tcPr>
            <w:tcW w:w="73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小计</w:t>
            </w:r>
          </w:p>
        </w:tc>
        <w:tc>
          <w:tcPr>
            <w:tcW w:w="106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0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938"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60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833" w:type="dxa"/>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四、符合条件的技术转让项目</w:t>
            </w:r>
          </w:p>
        </w:tc>
        <w:tc>
          <w:tcPr>
            <w:tcW w:w="731"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0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938"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833" w:type="dxa"/>
            <w:vMerge w:val="continue"/>
            <w:shd w:val="clear" w:color="auto" w:fill="auto"/>
            <w:vAlign w:val="center"/>
          </w:tcPr>
          <w:p>
            <w:pPr>
              <w:widowControl/>
              <w:jc w:val="left"/>
              <w:rPr>
                <w:rFonts w:ascii="宋体" w:hAnsi="宋体" w:cs="宋体"/>
                <w:kern w:val="0"/>
                <w:sz w:val="20"/>
                <w:szCs w:val="20"/>
              </w:rPr>
            </w:pPr>
          </w:p>
        </w:tc>
        <w:tc>
          <w:tcPr>
            <w:tcW w:w="731"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0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20"/>
                <w:szCs w:val="20"/>
              </w:rPr>
            </w:pPr>
          </w:p>
        </w:tc>
        <w:tc>
          <w:tcPr>
            <w:tcW w:w="938"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60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833" w:type="dxa"/>
            <w:vMerge w:val="continue"/>
            <w:shd w:val="clear" w:color="auto" w:fill="auto"/>
            <w:vAlign w:val="center"/>
          </w:tcPr>
          <w:p>
            <w:pPr>
              <w:widowControl/>
              <w:jc w:val="left"/>
              <w:rPr>
                <w:rFonts w:ascii="宋体" w:hAnsi="宋体" w:cs="宋体"/>
                <w:kern w:val="0"/>
                <w:sz w:val="20"/>
                <w:szCs w:val="20"/>
              </w:rPr>
            </w:pPr>
          </w:p>
        </w:tc>
        <w:tc>
          <w:tcPr>
            <w:tcW w:w="73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小计</w:t>
            </w:r>
          </w:p>
        </w:tc>
        <w:tc>
          <w:tcPr>
            <w:tcW w:w="106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0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938"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60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833" w:type="dxa"/>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五、实施清洁机制发展项目</w:t>
            </w:r>
          </w:p>
        </w:tc>
        <w:tc>
          <w:tcPr>
            <w:tcW w:w="731"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09"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20"/>
                <w:szCs w:val="20"/>
              </w:rPr>
            </w:pPr>
          </w:p>
        </w:tc>
        <w:tc>
          <w:tcPr>
            <w:tcW w:w="938"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60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833" w:type="dxa"/>
            <w:vMerge w:val="continue"/>
            <w:shd w:val="clear" w:color="auto" w:fill="auto"/>
            <w:vAlign w:val="center"/>
          </w:tcPr>
          <w:p>
            <w:pPr>
              <w:widowControl/>
              <w:jc w:val="left"/>
              <w:rPr>
                <w:rFonts w:ascii="宋体" w:hAnsi="宋体" w:cs="宋体"/>
                <w:kern w:val="0"/>
                <w:sz w:val="20"/>
                <w:szCs w:val="20"/>
              </w:rPr>
            </w:pPr>
          </w:p>
        </w:tc>
        <w:tc>
          <w:tcPr>
            <w:tcW w:w="731"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09"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938"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60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833" w:type="dxa"/>
            <w:vMerge w:val="continue"/>
            <w:shd w:val="clear" w:color="auto" w:fill="auto"/>
            <w:vAlign w:val="center"/>
          </w:tcPr>
          <w:p>
            <w:pPr>
              <w:widowControl/>
              <w:jc w:val="left"/>
              <w:rPr>
                <w:rFonts w:ascii="宋体" w:hAnsi="宋体" w:cs="宋体"/>
                <w:kern w:val="0"/>
                <w:sz w:val="20"/>
                <w:szCs w:val="20"/>
              </w:rPr>
            </w:pPr>
          </w:p>
        </w:tc>
        <w:tc>
          <w:tcPr>
            <w:tcW w:w="73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小计</w:t>
            </w:r>
          </w:p>
        </w:tc>
        <w:tc>
          <w:tcPr>
            <w:tcW w:w="106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0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938"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60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833" w:type="dxa"/>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六、符合条件的节能服务公司实施合同能源管理项目</w:t>
            </w:r>
          </w:p>
        </w:tc>
        <w:tc>
          <w:tcPr>
            <w:tcW w:w="731"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09"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938"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60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833" w:type="dxa"/>
            <w:vMerge w:val="continue"/>
            <w:shd w:val="clear" w:color="auto" w:fill="auto"/>
            <w:vAlign w:val="center"/>
          </w:tcPr>
          <w:p>
            <w:pPr>
              <w:widowControl/>
              <w:jc w:val="left"/>
              <w:rPr>
                <w:rFonts w:ascii="宋体" w:hAnsi="宋体" w:cs="宋体"/>
                <w:kern w:val="0"/>
                <w:sz w:val="20"/>
                <w:szCs w:val="20"/>
              </w:rPr>
            </w:pPr>
          </w:p>
        </w:tc>
        <w:tc>
          <w:tcPr>
            <w:tcW w:w="731"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09"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938"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60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833" w:type="dxa"/>
            <w:vMerge w:val="continue"/>
            <w:shd w:val="clear" w:color="auto" w:fill="auto"/>
            <w:vAlign w:val="center"/>
          </w:tcPr>
          <w:p>
            <w:pPr>
              <w:widowControl/>
              <w:jc w:val="left"/>
              <w:rPr>
                <w:rFonts w:ascii="宋体" w:hAnsi="宋体" w:cs="宋体"/>
                <w:kern w:val="0"/>
                <w:sz w:val="20"/>
                <w:szCs w:val="20"/>
              </w:rPr>
            </w:pPr>
          </w:p>
        </w:tc>
        <w:tc>
          <w:tcPr>
            <w:tcW w:w="73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小计</w:t>
            </w:r>
          </w:p>
        </w:tc>
        <w:tc>
          <w:tcPr>
            <w:tcW w:w="106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0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938"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60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833" w:type="dxa"/>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七、其他</w:t>
            </w:r>
          </w:p>
        </w:tc>
        <w:tc>
          <w:tcPr>
            <w:tcW w:w="731"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809"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938"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60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833" w:type="dxa"/>
            <w:vMerge w:val="continue"/>
            <w:shd w:val="clear" w:color="auto" w:fill="auto"/>
            <w:vAlign w:val="center"/>
          </w:tcPr>
          <w:p>
            <w:pPr>
              <w:widowControl/>
              <w:jc w:val="left"/>
              <w:rPr>
                <w:rFonts w:ascii="宋体" w:hAnsi="宋体" w:cs="宋体"/>
                <w:kern w:val="0"/>
                <w:sz w:val="20"/>
                <w:szCs w:val="20"/>
              </w:rPr>
            </w:pPr>
          </w:p>
        </w:tc>
        <w:tc>
          <w:tcPr>
            <w:tcW w:w="731"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809"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938"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60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833" w:type="dxa"/>
            <w:vMerge w:val="continue"/>
            <w:shd w:val="clear" w:color="auto" w:fill="auto"/>
            <w:vAlign w:val="center"/>
          </w:tcPr>
          <w:p>
            <w:pPr>
              <w:widowControl/>
              <w:jc w:val="left"/>
              <w:rPr>
                <w:rFonts w:ascii="宋体" w:hAnsi="宋体" w:cs="宋体"/>
                <w:kern w:val="0"/>
                <w:sz w:val="20"/>
                <w:szCs w:val="20"/>
              </w:rPr>
            </w:pPr>
          </w:p>
        </w:tc>
        <w:tc>
          <w:tcPr>
            <w:tcW w:w="73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小计</w:t>
            </w:r>
          </w:p>
        </w:tc>
        <w:tc>
          <w:tcPr>
            <w:tcW w:w="106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809"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938"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p>
        </w:tc>
        <w:tc>
          <w:tcPr>
            <w:tcW w:w="1609" w:type="dxa"/>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jc w:val="center"/>
        </w:trPr>
        <w:tc>
          <w:tcPr>
            <w:tcW w:w="63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1833"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73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0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60" w:type="dxa"/>
            <w:shd w:val="clear" w:color="auto" w:fill="auto"/>
            <w:vAlign w:val="center"/>
          </w:tcPr>
          <w:p>
            <w:pPr>
              <w:widowControl/>
              <w:jc w:val="center"/>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18"/>
                <w:szCs w:val="18"/>
              </w:rPr>
            </w:pPr>
          </w:p>
        </w:tc>
        <w:tc>
          <w:tcPr>
            <w:tcW w:w="938"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060" w:type="dxa"/>
            <w:shd w:val="clear" w:color="auto" w:fill="auto"/>
            <w:vAlign w:val="center"/>
          </w:tcPr>
          <w:p>
            <w:pPr>
              <w:widowControl/>
              <w:jc w:val="center"/>
              <w:rPr>
                <w:rFonts w:ascii="宋体" w:hAnsi="宋体" w:cs="宋体"/>
                <w:kern w:val="0"/>
                <w:sz w:val="18"/>
                <w:szCs w:val="18"/>
              </w:rPr>
            </w:pPr>
          </w:p>
        </w:tc>
        <w:tc>
          <w:tcPr>
            <w:tcW w:w="1609" w:type="dxa"/>
            <w:shd w:val="clear" w:color="auto" w:fill="auto"/>
            <w:vAlign w:val="center"/>
          </w:tcPr>
          <w:p>
            <w:pPr>
              <w:widowControl/>
              <w:jc w:val="center"/>
              <w:rPr>
                <w:rFonts w:ascii="宋体" w:hAnsi="宋体" w:cs="宋体"/>
                <w:kern w:val="0"/>
                <w:sz w:val="18"/>
                <w:szCs w:val="18"/>
              </w:rPr>
            </w:pPr>
          </w:p>
        </w:tc>
      </w:tr>
    </w:tbl>
    <w:p>
      <w:pPr>
        <w:pStyle w:val="9"/>
      </w:pPr>
    </w:p>
    <w:p>
      <w:pPr>
        <w:pStyle w:val="13"/>
        <w:sectPr>
          <w:pgSz w:w="16838" w:h="11906" w:orient="landscape"/>
          <w:pgMar w:top="1418" w:right="1985" w:bottom="1418" w:left="1928" w:header="851" w:footer="992" w:gutter="113"/>
          <w:cols w:space="425" w:num="1"/>
          <w:docGrid w:linePitch="312" w:charSpace="0"/>
        </w:sectPr>
      </w:pPr>
    </w:p>
    <w:p>
      <w:pPr>
        <w:pStyle w:val="8"/>
        <w:spacing w:before="240" w:after="360"/>
      </w:pPr>
      <w:bookmarkStart w:id="86" w:name="_Toc499456604"/>
      <w:r>
        <w:rPr>
          <w:rFonts w:hint="eastAsia"/>
        </w:rPr>
        <w:t>A107020</w:t>
      </w:r>
      <w:r>
        <w:tab/>
      </w:r>
      <w:r>
        <w:rPr>
          <w:rFonts w:hint="eastAsia"/>
        </w:rPr>
        <w:t>《所得减免优惠明细表》填报说明</w:t>
      </w:r>
      <w:bookmarkEnd w:id="83"/>
      <w:bookmarkEnd w:id="84"/>
      <w:bookmarkEnd w:id="86"/>
    </w:p>
    <w:p>
      <w:pPr>
        <w:pStyle w:val="9"/>
      </w:pPr>
      <w:r>
        <w:rPr>
          <w:rFonts w:hint="eastAsia"/>
        </w:rPr>
        <w:t>本表适用于享受所得减免优惠的纳税人填报。纳税人根据税法及相关税收政策规定，填报本年发生的所得减免优惠情况，</w:t>
      </w:r>
      <w:r>
        <w:rPr>
          <w:rFonts w:hint="eastAsia"/>
          <w:color w:val="000000"/>
        </w:rPr>
        <w:t>本期纳税调整后所得（表A100000第19行）为负数的不需填报本表。</w:t>
      </w:r>
    </w:p>
    <w:p>
      <w:pPr>
        <w:pStyle w:val="11"/>
        <w:ind w:firstLine="482"/>
      </w:pPr>
      <w:r>
        <w:rPr>
          <w:rFonts w:hint="eastAsia"/>
        </w:rPr>
        <w:t>一、有关项目填报说明</w:t>
      </w:r>
    </w:p>
    <w:p>
      <w:pPr>
        <w:pStyle w:val="9"/>
      </w:pPr>
      <w:r>
        <w:rPr>
          <w:rFonts w:hint="eastAsia"/>
        </w:rPr>
        <w:t>1.第1列“项目名称”：填报纳税人享受减免所得优惠的项目在会计核算上的名称。项目名称以纳税人内部规范称谓为准。</w:t>
      </w:r>
    </w:p>
    <w:p>
      <w:pPr>
        <w:pStyle w:val="9"/>
        <w:rPr>
          <w:rFonts w:hint="eastAsia"/>
        </w:rPr>
      </w:pPr>
      <w:r>
        <w:rPr>
          <w:rFonts w:hint="eastAsia"/>
        </w:rPr>
        <w:t>2.第2列“优惠事项名称”：按照该项目享受所得减免企业所得税优惠事项的具体政策内容选择填报。具体说明如下：</w:t>
      </w:r>
    </w:p>
    <w:p>
      <w:pPr>
        <w:pStyle w:val="9"/>
        <w:rPr>
          <w:rFonts w:hint="eastAsia"/>
        </w:rPr>
      </w:pPr>
      <w:r>
        <w:rPr>
          <w:rFonts w:hint="eastAsia"/>
        </w:rPr>
        <w:t>（1）“一、农、林、牧、渔业项目”</w:t>
      </w:r>
    </w:p>
    <w:p>
      <w:pPr>
        <w:pStyle w:val="9"/>
      </w:pPr>
      <w:r>
        <w:rPr>
          <w:rFonts w:hint="eastAsia"/>
        </w:rPr>
        <w:t>在以下优惠事项中选择填报：1.蔬菜、谷物、薯类、油料、豆类、棉花、麻类、糖料、水果、坚果的种植；2.农作物新品种的选育；3.中药材的种植；4.林木的培育和种植；5.牲畜、家禽的饲养；6.林产品的采集；7.灌溉、兽医、农技推广、农机作业和维修等农、林、牧、渔服务业项目；8.农产品初加工；9.远洋捕捞；10.花卉、茶以及其他饮料作物和香料作物的种植；11.海水养殖、内陆养殖；12.其他。</w:t>
      </w:r>
    </w:p>
    <w:p>
      <w:pPr>
        <w:pStyle w:val="9"/>
        <w:rPr>
          <w:rFonts w:hint="eastAsia"/>
        </w:rPr>
      </w:pPr>
      <w:r>
        <w:rPr>
          <w:rFonts w:hint="eastAsia"/>
        </w:rPr>
        <w:t xml:space="preserve">（2）“二、国家重点扶持的公共基础设施项目” </w:t>
      </w:r>
    </w:p>
    <w:p>
      <w:pPr>
        <w:pStyle w:val="9"/>
      </w:pPr>
      <w:r>
        <w:rPr>
          <w:rFonts w:hint="eastAsia"/>
        </w:rPr>
        <w:t>在以下优惠事项中选择填报：1.港口码头项目；2.机场项目；3.铁路项目；4.公路项目；5.城市公共交通项目；6.电力项目；7.水利项目；8.其他项目。</w:t>
      </w:r>
    </w:p>
    <w:p>
      <w:pPr>
        <w:pStyle w:val="9"/>
        <w:rPr>
          <w:rFonts w:hint="eastAsia"/>
        </w:rPr>
      </w:pPr>
      <w:r>
        <w:rPr>
          <w:rFonts w:hint="eastAsia"/>
        </w:rPr>
        <w:t>（3）“三、符合条件的环境保护、节能节水项目”</w:t>
      </w:r>
    </w:p>
    <w:p>
      <w:pPr>
        <w:pStyle w:val="9"/>
      </w:pPr>
      <w:r>
        <w:rPr>
          <w:rFonts w:hint="eastAsia"/>
        </w:rPr>
        <w:t>在以下优惠事项中选择填报：1.公共污水处理项目；2.公共垃圾处理项目；3.沼气综合开发利用项目；4.节能减排技术改造项目；5.海水淡化项目；6.其他项目。</w:t>
      </w:r>
    </w:p>
    <w:p>
      <w:pPr>
        <w:pStyle w:val="9"/>
        <w:rPr>
          <w:rFonts w:hint="eastAsia"/>
        </w:rPr>
      </w:pPr>
      <w:r>
        <w:rPr>
          <w:rFonts w:hint="eastAsia"/>
        </w:rPr>
        <w:t>（4）“四、符合条件的技术转让项目”：本列不需填报。</w:t>
      </w:r>
    </w:p>
    <w:p>
      <w:pPr>
        <w:pStyle w:val="9"/>
        <w:rPr>
          <w:rFonts w:hint="eastAsia"/>
        </w:rPr>
      </w:pPr>
      <w:r>
        <w:rPr>
          <w:rFonts w:hint="eastAsia"/>
        </w:rPr>
        <w:t>（5）“五、实施清洁发展机制”：本列不需填报。</w:t>
      </w:r>
    </w:p>
    <w:p>
      <w:pPr>
        <w:pStyle w:val="9"/>
      </w:pPr>
      <w:r>
        <w:rPr>
          <w:rFonts w:hint="eastAsia"/>
        </w:rPr>
        <w:t>（6）“六、符合条件的节能服务公司实施合同能源管理项目”：本列不需填报。</w:t>
      </w:r>
    </w:p>
    <w:p>
      <w:pPr>
        <w:pStyle w:val="9"/>
      </w:pPr>
      <w:r>
        <w:rPr>
          <w:rFonts w:hint="eastAsia"/>
        </w:rPr>
        <w:t>（7）“七、其他”：填报上述所得减免优惠项目以外的其他所得减免优惠政策具体名称。</w:t>
      </w:r>
    </w:p>
    <w:p>
      <w:pPr>
        <w:pStyle w:val="9"/>
      </w:pPr>
      <w:r>
        <w:rPr>
          <w:rFonts w:hint="eastAsia"/>
        </w:rPr>
        <w:t>3.第3列“优惠方式”：填报该项目享受所得减免企业所得税优惠的具体方式。该项目享受免征企业所得税优惠的，选择填报“免税”；项目享受减半征税企业所得税优惠的，选择填报“减半征收”。</w:t>
      </w:r>
    </w:p>
    <w:p>
      <w:pPr>
        <w:pStyle w:val="9"/>
      </w:pPr>
      <w:r>
        <w:rPr>
          <w:rFonts w:hint="eastAsia"/>
        </w:rPr>
        <w:t>4.第4列“项目收入”：填报享受所得减免企业所得税优惠项目取得的收入总额。</w:t>
      </w:r>
    </w:p>
    <w:p>
      <w:pPr>
        <w:pStyle w:val="9"/>
      </w:pPr>
      <w:r>
        <w:rPr>
          <w:rFonts w:hint="eastAsia"/>
        </w:rPr>
        <w:t>5.第5列“项目成本”：填报享受所得减免企业所得税优惠项目发生的成本总额。</w:t>
      </w:r>
    </w:p>
    <w:p>
      <w:pPr>
        <w:pStyle w:val="9"/>
      </w:pPr>
      <w:r>
        <w:rPr>
          <w:rFonts w:hint="eastAsia"/>
        </w:rPr>
        <w:t>6.第</w:t>
      </w:r>
      <w:r>
        <w:t>6</w:t>
      </w:r>
      <w:r>
        <w:rPr>
          <w:rFonts w:hint="eastAsia"/>
        </w:rPr>
        <w:t>列“相关税费”：填报享受所得减免企业所得税优惠项目实际发生的有关税费，包括除企业所得税和允许抵扣的增值税以外的各项税金及其附加、合同签订费用、律师费等相关费用及其他支出。</w:t>
      </w:r>
    </w:p>
    <w:p>
      <w:pPr>
        <w:pStyle w:val="9"/>
      </w:pPr>
      <w:r>
        <w:rPr>
          <w:rFonts w:hint="eastAsia"/>
        </w:rPr>
        <w:t>7.第7列“应分摊期间费用”：填报享受所得减免企业所得税优惠项目合理分摊的期间费用。合理分摊比例可以按照投资额、销售收入、资产额、人员工资等参数确定。上述比例一经确定，不得随意变更。</w:t>
      </w:r>
    </w:p>
    <w:p>
      <w:pPr>
        <w:pStyle w:val="9"/>
      </w:pPr>
      <w:r>
        <w:rPr>
          <w:rFonts w:hint="eastAsia"/>
        </w:rPr>
        <w:t>8.第8列“纳税调整额”：填报纳税人按照税收规定需要调整减免税项目收入、成本、费用的金额，调整减少的金额以负数填报。</w:t>
      </w:r>
    </w:p>
    <w:p>
      <w:pPr>
        <w:pStyle w:val="9"/>
      </w:pPr>
      <w:r>
        <w:rPr>
          <w:rFonts w:hint="eastAsia"/>
        </w:rPr>
        <w:t>9.第9列“项目所得额—免税项目”：填报享受所得减免企业所得税优惠的纳税人计算确认的本期免税项目所得额。本列根据第3列分析填报，第3列填报内容为“免税”的，第4-5-6-7+8列的值填入本列；若第4-5-6-7+8列的值小于零的，本列按零填报。</w:t>
      </w:r>
    </w:p>
    <w:p>
      <w:pPr>
        <w:pStyle w:val="9"/>
      </w:pPr>
      <w:r>
        <w:rPr>
          <w:rFonts w:hint="eastAsia"/>
        </w:rPr>
        <w:t>第9列“四、符合条件的技术转让项目”的“小计”行，第4-5-6-7+8列的值小于等于500万元的，填入本列，超出部分金额填入第10列；若第4-5-6-7+8列的值小于零的，本列按零填报。</w:t>
      </w:r>
    </w:p>
    <w:p>
      <w:pPr>
        <w:pStyle w:val="9"/>
      </w:pPr>
      <w:r>
        <w:rPr>
          <w:rFonts w:hint="eastAsia"/>
        </w:rPr>
        <w:t>10.第10列“项目所得额—减半项目”：填报享受所得减免企业所得税优惠的纳税人本期经计算确认的减半征收项目所得额。本列根据第3列分析填报，第3列填报内容为“减半征税”的，第4-5-6-7+8列的金额填入本列；若第4-5-6-7+8列的值小于零的，本列按零填报。</w:t>
      </w:r>
    </w:p>
    <w:p>
      <w:pPr>
        <w:pStyle w:val="9"/>
      </w:pPr>
      <w:r>
        <w:rPr>
          <w:rFonts w:hint="eastAsia"/>
        </w:rPr>
        <w:t>第10列“四、符合条件的技术转让项目”的“小计”行，第4-5-6-7+8列的值超过500万元的部分，填入本列。</w:t>
      </w:r>
    </w:p>
    <w:p>
      <w:pPr>
        <w:pStyle w:val="9"/>
      </w:pPr>
      <w:r>
        <w:rPr>
          <w:rFonts w:hint="eastAsia"/>
        </w:rPr>
        <w:t>11.第11列“减免所得额”：填报享受所得减免企业所得税优惠的企业，该项目按照税收规定实际可以享受免征、减征的所得额。本列等于第9列+第10列×50%。</w:t>
      </w:r>
    </w:p>
    <w:p>
      <w:pPr>
        <w:pStyle w:val="9"/>
      </w:pPr>
      <w:r>
        <w:rPr>
          <w:rFonts w:hint="eastAsia"/>
        </w:rPr>
        <w:t>12.第1行至第3行“一、农、林、牧、渔业项目”：按农、林、牧、渔业项目的优惠政策具体内容分别填报，一个项目填报一行，纳税人有多个项目的，可自行增加行次填报。各行相应列次填报金额的合计金额填入“小计”行。纳税人根据《财政部 国家税务总局关于发布享受企业所得税优惠政策的农产品初加工范围（试行）的通知》（财税〔2008〕149号）、《国家税务总局关于黑龙江垦区国有农场土地承包费缴纳企业所得税问题的批复》（国税函〔2009〕779号）、《国家税务总局关于“公司＋农户”经营模式企业所得税优惠问题的公告》（国家税务总局公告2010年第2号）、《财政部 国家税务总局关于享受企业所得税优惠的农产品初加工有关范围的补充通知》（财税〔2011〕26号）、《国家税务总局关于实施农林牧渔业项目企业所得税优惠问题的公告》（国家税务总局公告2011年第48号）等相关税收政策规定，填报该项目本纳税年度发生的减征、免征企业所得税项目的所得额。</w:t>
      </w:r>
    </w:p>
    <w:p>
      <w:pPr>
        <w:pStyle w:val="9"/>
      </w:pPr>
      <w:r>
        <w:rPr>
          <w:rFonts w:hint="eastAsia"/>
        </w:rPr>
        <w:t>13.第4行至第6行“二、国家重点扶持的公共基础设施项目”：按国家重点扶持的公共基础设施项目具体内容分别填报，一个项目填报一行，纳税人有多个项目的，可自行增加行次填报。各行相应列次填报金额的合计金额填入“小计”行。纳税人根据《财政部 国家税务总局关于执行公共基础设施项目企业所得税优惠目录有关问题的通知》（财税〔2008〕46号）、《财政部 国家税务总局 国家发展改革委关于公布公共基础设施项目企业所得税优惠目录(2008年版)的通知》（财税〔2008〕116号）、《国家税务总局关于实施国家重点扶持的公共基础设施项目企业所得税优惠问题的通知》（国税发〔2009〕80号）、《财政部 国家税务总局关于公共基础设施项目和环境保护 节能节水项目企业所得税优惠政策问题的通知》（财税〔2012〕10号）、《财政部 国家税务总局关于支持农村饮水安全工程建设运营税收政策的通知》（财税〔2012〕30号）第五条、《国家税务总局关于电网企业电网新建项目享受所得税优惠政策问题的公告》（国家税务总局公告2013年第26号）、《财政部 国家税务总局关于公共基础设施项目享受企业所得税优惠政策问题的补充通知》（财税〔2014〕55号）等相关税收政策规定，填报从事《公共基础设施项目企业所得税优惠目录》规定的港口码头、机场、铁路、公路、城市公共交通、电力、水利等项目的投资经营的所得，自项目取得第一笔生产经营收入所属纳税年度起，第一年至第三年免征企业所得税，第四年至第六年减半征收企业所得税。不包括企业承包经营、承包建设和内部自建自用该项目的所得。</w:t>
      </w:r>
    </w:p>
    <w:p>
      <w:pPr>
        <w:pStyle w:val="9"/>
      </w:pPr>
      <w:r>
        <w:rPr>
          <w:rFonts w:hint="eastAsia"/>
        </w:rPr>
        <w:t>14.第7行至第9行“三、符合条件的环境保护、节能节水项目”：按符合条件的环境保护、节能节水项目的具体内容分别填报，一个项目填报一行。纳税人有多个项目的，可自行增加行次填报。各行相应列次填报金额的合计金额填入“小计”行。纳税人根据《财政部 国家税务总局 国家发展改革委关于公布环境保护节能节水项目企业所得税优惠目录（试行）的通知》（财税〔2009〕166号）、《财政部 国家税务总局关于公共基础设施项目和环境保护 节能节水项目企业所得税优惠政策问题的通知》（财税〔2012〕10号）等相关税收政策规定，填报从事符合条件的公共污水处理、公共垃圾处理、沼气综合开发利用、节能减排技术改造、海水淡化等环境保护、节能节水项目的所得，自项目取得第一笔生产经营收入所属纳税年度起，第一年至第三年免征企业所得税，第四年至第六年减半征收企业所得税。</w:t>
      </w:r>
    </w:p>
    <w:p>
      <w:pPr>
        <w:pStyle w:val="9"/>
      </w:pPr>
      <w:r>
        <w:rPr>
          <w:rFonts w:hint="eastAsia"/>
        </w:rPr>
        <w:t>15.第10行至第12行“四、符合条件的技术转让项目”：按照不同技术转让项目分别填报，一个项目填报一行，纳税人有多个项目的，可自行增加行次填报。各行相应列次填报金额的合计金额填入“小计”行。纳税人根据《国家税务总局关于技术转让所得减免企业所得税有关问题的通知》（国税函〔2009〕212号）、《财政部 国家税务总局关于居民企业技术转让有关企业所得税政策问题的通知》（财税〔2010〕111号）、《国家税务总局关于技术转让所得减免企业所得税有关问题的公告》（国家税务总局公告2013年第62号）、《国家税务总局关于许可使用权技术转让所得企业所得税有关问题的公告》（国家税务总局公告2015年第82号）等相关税收政策规定，填报一个纳税年度内，居民企业将其拥有的专利技术、计算机软件著作权、集成电路布图设计权、植物新品种、生物医药新品种，以及财政部和国家税务总局确定的其他技术的所有权或5年以上（含5年）全球独占许可使用权、5年以上（含5年）非独占许可使用权转让取得的所得，不超过500万元的部分，免征企业所得税；超过500万元的部分，减半征收企业所得税。居民企业从直接或间接持有股权之和达到100%的关联方取得的技术转让所得，不享受技术转让减免企业所得税优惠政策。</w:t>
      </w:r>
    </w:p>
    <w:p>
      <w:pPr>
        <w:pStyle w:val="9"/>
      </w:pPr>
      <w:r>
        <w:rPr>
          <w:rFonts w:hint="eastAsia"/>
        </w:rPr>
        <w:t>16.第13行至第15行“五、实施清洁机制发展项目”：按照实施清洁发展机制的不同项目分别填报，一个项目填报一行，纳税人有多个项目的，可自行增加行次填报。各行相应列次填报金额的合计金额填入“小计”行。纳税人根据《财政部 国家税务总局关于中国清洁发展机制基金及清洁发展机制项目实施企业有关企业所得税政策问题的通知》（财税〔2009〕30号）等相关税收政策规定，填报对企业实施的将温室气体减排量转让收入的65%上缴给国家的HFC和PFC类CDM项目，以及将温室气体减排量转让收入的30%上缴给国家的N2O类CDM项目，其实施该类CDM项目的所得，自项目取得第一笔减排量转让收入所属纳税年度起，第一年至第三年免征企业所得税，第四年至第六年减半征收企业所得税。</w:t>
      </w:r>
    </w:p>
    <w:p>
      <w:pPr>
        <w:pStyle w:val="9"/>
      </w:pPr>
      <w:r>
        <w:rPr>
          <w:rFonts w:hint="eastAsia"/>
        </w:rPr>
        <w:t>17.第16行至第18行“六、符合条件的节能服务公司实施合同能源管理项目”：按照节能服务公司实施合同能源管理的不同项目分别填报，一个项目填报一行，纳税人有多个项目的，可自行增加行次填报。各行相应列次填报金额的合计金额填入“小计”行。纳税人根据《财政部 国家税务总局关于促进节能服务产业发展增值税营业税和企业所得税政策问题的通知》（财税〔2010〕110号）、《国家税务总局 国家发展改革委关于落实节能服务企业合同能源管理项目企业所得税优惠政策有关征收管理问题的公告》（国家税务总局 国家发展改革委公告2013年第77号）等相关税收政策规定，填报对符合条件的节能服务公司实施合同能源管理项目，符合企业所得税税法有关规定的，自项目取得第一笔生产经营收入所属纳税年度起，第一年至第三年免征企业所得税，第四年至第六年按照25%的法定税率减半征收企业所得税。</w:t>
      </w:r>
    </w:p>
    <w:p>
      <w:pPr>
        <w:pStyle w:val="9"/>
      </w:pPr>
      <w:r>
        <w:rPr>
          <w:rFonts w:hint="eastAsia"/>
        </w:rPr>
        <w:t>18.第19行至第21行“七、其他”：填报纳税人享受的其他专项减免</w:t>
      </w:r>
      <w:r>
        <w:rPr>
          <w:rFonts w:hint="eastAsia"/>
          <w:color w:val="000000"/>
        </w:rPr>
        <w:t>项目名称、优惠事项名称及减免税代码、</w:t>
      </w:r>
      <w:r>
        <w:rPr>
          <w:rFonts w:hint="eastAsia"/>
        </w:rPr>
        <w:t>项目收入等。按照享受所得减免企业所得税优惠的其他项目内容分别填报，一个项目填报一行，纳税人有多个项目的，可自行增加行次填报。各行相应列次填报金额的合计金额填入“小计”行。</w:t>
      </w:r>
    </w:p>
    <w:p>
      <w:pPr>
        <w:pStyle w:val="9"/>
      </w:pPr>
      <w:r>
        <w:rPr>
          <w:rFonts w:hint="eastAsia"/>
        </w:rPr>
        <w:t>19.第22行“合计”：填报第一至第七项“小计”行的合计金额。</w:t>
      </w:r>
    </w:p>
    <w:p>
      <w:pPr>
        <w:pStyle w:val="11"/>
        <w:ind w:firstLine="482"/>
      </w:pPr>
      <w:r>
        <w:rPr>
          <w:rFonts w:hint="eastAsia"/>
        </w:rPr>
        <w:t>二、表内、表间关系</w:t>
      </w:r>
    </w:p>
    <w:p>
      <w:pPr>
        <w:pStyle w:val="12"/>
      </w:pPr>
      <w:r>
        <w:rPr>
          <w:rFonts w:hint="eastAsia"/>
        </w:rPr>
        <w:t>（一）表内关系</w:t>
      </w:r>
    </w:p>
    <w:p>
      <w:pPr>
        <w:pStyle w:val="9"/>
      </w:pPr>
      <w:r>
        <w:rPr>
          <w:rFonts w:hint="eastAsia"/>
        </w:rPr>
        <w:t>1.第3行＝第1+2行。</w:t>
      </w:r>
    </w:p>
    <w:p>
      <w:pPr>
        <w:pStyle w:val="9"/>
      </w:pPr>
      <w:r>
        <w:rPr>
          <w:rFonts w:hint="eastAsia"/>
        </w:rPr>
        <w:t>2.第6行＝第4+5行。</w:t>
      </w:r>
    </w:p>
    <w:p>
      <w:pPr>
        <w:pStyle w:val="9"/>
      </w:pPr>
      <w:r>
        <w:rPr>
          <w:rFonts w:hint="eastAsia"/>
        </w:rPr>
        <w:t>3.第9行＝第7+8行。</w:t>
      </w:r>
    </w:p>
    <w:p>
      <w:pPr>
        <w:pStyle w:val="9"/>
      </w:pPr>
      <w:r>
        <w:rPr>
          <w:rFonts w:hint="eastAsia"/>
        </w:rPr>
        <w:t>4.第12行＝第10+11行。</w:t>
      </w:r>
    </w:p>
    <w:p>
      <w:pPr>
        <w:pStyle w:val="9"/>
      </w:pPr>
      <w:r>
        <w:rPr>
          <w:rFonts w:hint="eastAsia"/>
        </w:rPr>
        <w:t>5.第15行＝第13+14行。</w:t>
      </w:r>
    </w:p>
    <w:p>
      <w:pPr>
        <w:pStyle w:val="9"/>
      </w:pPr>
      <w:r>
        <w:rPr>
          <w:rFonts w:hint="eastAsia"/>
        </w:rPr>
        <w:t>6.第18行＝第16+17行。</w:t>
      </w:r>
    </w:p>
    <w:p>
      <w:pPr>
        <w:pStyle w:val="9"/>
      </w:pPr>
      <w:r>
        <w:rPr>
          <w:rFonts w:hint="eastAsia"/>
        </w:rPr>
        <w:t>7.第21行＝第19+20行。</w:t>
      </w:r>
    </w:p>
    <w:p>
      <w:pPr>
        <w:pStyle w:val="9"/>
      </w:pPr>
      <w:r>
        <w:rPr>
          <w:rFonts w:hint="eastAsia"/>
        </w:rPr>
        <w:t>8.第22行＝第3+6+9+12+15+18+21行。</w:t>
      </w:r>
    </w:p>
    <w:p>
      <w:pPr>
        <w:pStyle w:val="9"/>
      </w:pPr>
      <w:r>
        <w:rPr>
          <w:rFonts w:hint="eastAsia"/>
        </w:rPr>
        <w:t>9.第9列＝第4-5-6-7+8列（当第3列＝“免税”时）；第9列“四、符合条件的技术转让项目”的“小计”行＝第4-5-6-7+8列（当第4-5-6-7+8列≤5000000时）；若第4-5-6-7+8列＜0，第9列＝0。</w:t>
      </w:r>
    </w:p>
    <w:p>
      <w:pPr>
        <w:pStyle w:val="9"/>
      </w:pPr>
      <w:r>
        <w:rPr>
          <w:rFonts w:hint="eastAsia"/>
        </w:rPr>
        <w:t>10.第10列＝第4-5-6-7+8列（当第3列＝“减半征税”时）；第10列“四、符合条件的技术转让项目”的“小计”行＝第4-5-6-7+8列-5000000（当第4-5-6-7+8列＞5000000时）；若第4-5-6-7+8列＜0，第10列＝0。</w:t>
      </w:r>
    </w:p>
    <w:p>
      <w:pPr>
        <w:pStyle w:val="9"/>
      </w:pPr>
      <w:r>
        <w:rPr>
          <w:rFonts w:hint="eastAsia"/>
        </w:rPr>
        <w:t>11.第11列＝第9列+第10列×50%；当（第9列+第10列×50%）＜0时，第11列＝0。</w:t>
      </w:r>
    </w:p>
    <w:p>
      <w:pPr>
        <w:pStyle w:val="12"/>
      </w:pPr>
      <w:r>
        <w:rPr>
          <w:rFonts w:hint="eastAsia"/>
        </w:rPr>
        <w:t>（二）表间关系</w:t>
      </w:r>
    </w:p>
    <w:p>
      <w:pPr>
        <w:pStyle w:val="9"/>
      </w:pPr>
      <w:r>
        <w:rPr>
          <w:rFonts w:hint="eastAsia"/>
        </w:rPr>
        <w:t>1.当本表合计行第11列≥0，且本表合计行第11列≤表A100000第19行时，表A100000第20行＝合计行第11列。</w:t>
      </w:r>
    </w:p>
    <w:p>
      <w:pPr>
        <w:pStyle w:val="9"/>
        <w:sectPr>
          <w:pgSz w:w="11906" w:h="16838"/>
          <w:pgMar w:top="1985" w:right="1418" w:bottom="1928" w:left="1418" w:header="851" w:footer="992" w:gutter="113"/>
          <w:cols w:space="425" w:num="1"/>
          <w:docGrid w:linePitch="312" w:charSpace="0"/>
        </w:sectPr>
      </w:pPr>
      <w:r>
        <w:rPr>
          <w:rFonts w:hint="eastAsia"/>
        </w:rPr>
        <w:t>2.当本表合计行第11列≥0，且本表合计行第11列＞表A100000第19行时，表A100000第20行＝表A100000第19行。</w:t>
      </w:r>
    </w:p>
    <w:p>
      <w:pPr>
        <w:pStyle w:val="13"/>
      </w:pPr>
      <w:bookmarkStart w:id="87" w:name="_Toc499456605"/>
      <w:r>
        <w:rPr>
          <w:rFonts w:hint="eastAsia"/>
        </w:rPr>
        <w:t>A107030</w:t>
      </w:r>
      <w:r>
        <w:tab/>
      </w:r>
      <w:r>
        <w:rPr>
          <w:rFonts w:hint="eastAsia"/>
        </w:rPr>
        <w:t>抵扣应纳税所得额明细表</w:t>
      </w:r>
      <w:bookmarkEnd w:id="87"/>
    </w:p>
    <w:tbl>
      <w:tblPr>
        <w:tblStyle w:val="7"/>
        <w:tblW w:w="144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6760"/>
        <w:gridCol w:w="2320"/>
        <w:gridCol w:w="2500"/>
        <w:gridCol w:w="22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7" w:hRule="atLeast"/>
          <w:jc w:val="center"/>
        </w:trPr>
        <w:tc>
          <w:tcPr>
            <w:tcW w:w="64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676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spacing w:val="500"/>
                <w:kern w:val="0"/>
                <w:sz w:val="20"/>
                <w:szCs w:val="20"/>
                <w:fitText w:val="1400" w:id="14"/>
              </w:rPr>
              <w:t>项</w:t>
            </w:r>
            <w:r>
              <w:rPr>
                <w:rFonts w:hint="eastAsia" w:ascii="宋体" w:hAnsi="宋体" w:cs="宋体"/>
                <w:kern w:val="0"/>
                <w:sz w:val="20"/>
                <w:szCs w:val="20"/>
                <w:fitText w:val="1400" w:id="14"/>
              </w:rPr>
              <w:t>目</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合计金额</w:t>
            </w:r>
          </w:p>
        </w:tc>
        <w:tc>
          <w:tcPr>
            <w:tcW w:w="25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投资于未上市中小高新技术企业</w:t>
            </w:r>
          </w:p>
        </w:tc>
        <w:tc>
          <w:tcPr>
            <w:tcW w:w="22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投资于种子期、初创期科技型企业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vMerge w:val="continue"/>
            <w:shd w:val="clear" w:color="auto" w:fill="auto"/>
            <w:vAlign w:val="center"/>
          </w:tcPr>
          <w:p>
            <w:pPr>
              <w:widowControl/>
              <w:jc w:val="left"/>
              <w:rPr>
                <w:rFonts w:ascii="宋体" w:hAnsi="宋体" w:cs="宋体"/>
                <w:kern w:val="0"/>
                <w:sz w:val="20"/>
                <w:szCs w:val="20"/>
              </w:rPr>
            </w:pPr>
          </w:p>
        </w:tc>
        <w:tc>
          <w:tcPr>
            <w:tcW w:w="6760" w:type="dxa"/>
            <w:vMerge w:val="continue"/>
            <w:shd w:val="clear" w:color="auto" w:fill="auto"/>
            <w:vAlign w:val="center"/>
          </w:tcPr>
          <w:p>
            <w:pPr>
              <w:widowControl/>
              <w:jc w:val="left"/>
              <w:rPr>
                <w:rFonts w:ascii="宋体" w:hAnsi="宋体" w:cs="宋体"/>
                <w:kern w:val="0"/>
                <w:sz w:val="20"/>
                <w:szCs w:val="20"/>
              </w:rPr>
            </w:pP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1=2+3</w:t>
            </w:r>
          </w:p>
        </w:tc>
        <w:tc>
          <w:tcPr>
            <w:tcW w:w="25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2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14440" w:type="dxa"/>
            <w:gridSpan w:val="5"/>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一、创业投资企业直接投资按投资额一定比例抵扣应纳税所得额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本年新增的符合条件的股权投资额</w:t>
            </w:r>
          </w:p>
        </w:tc>
        <w:tc>
          <w:tcPr>
            <w:tcW w:w="2320" w:type="dxa"/>
            <w:shd w:val="clear" w:color="auto" w:fill="auto"/>
            <w:vAlign w:val="center"/>
          </w:tcPr>
          <w:p>
            <w:pPr>
              <w:widowControl/>
              <w:jc w:val="center"/>
              <w:rPr>
                <w:rFonts w:ascii="宋体" w:hAnsi="宋体" w:cs="宋体"/>
                <w:kern w:val="0"/>
                <w:sz w:val="20"/>
                <w:szCs w:val="20"/>
              </w:rPr>
            </w:pPr>
          </w:p>
        </w:tc>
        <w:tc>
          <w:tcPr>
            <w:tcW w:w="2500" w:type="dxa"/>
            <w:shd w:val="clear" w:color="auto" w:fill="auto"/>
            <w:vAlign w:val="center"/>
          </w:tcPr>
          <w:p>
            <w:pPr>
              <w:widowControl/>
              <w:jc w:val="center"/>
              <w:rPr>
                <w:rFonts w:ascii="宋体" w:hAnsi="宋体" w:cs="宋体"/>
                <w:kern w:val="0"/>
                <w:sz w:val="24"/>
              </w:rPr>
            </w:pPr>
          </w:p>
        </w:tc>
        <w:tc>
          <w:tcPr>
            <w:tcW w:w="2220" w:type="dxa"/>
            <w:shd w:val="clear" w:color="auto" w:fill="auto"/>
            <w:vAlign w:val="center"/>
          </w:tcPr>
          <w:p>
            <w:pPr>
              <w:widowControl/>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税收规定的抵扣率</w:t>
            </w:r>
          </w:p>
        </w:tc>
        <w:tc>
          <w:tcPr>
            <w:tcW w:w="23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w:t>
            </w:r>
          </w:p>
        </w:tc>
        <w:tc>
          <w:tcPr>
            <w:tcW w:w="250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w:t>
            </w:r>
          </w:p>
        </w:tc>
        <w:tc>
          <w:tcPr>
            <w:tcW w:w="22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本年新增的可抵扣的股权投资额（1×2）</w:t>
            </w:r>
          </w:p>
        </w:tc>
        <w:tc>
          <w:tcPr>
            <w:tcW w:w="2320" w:type="dxa"/>
            <w:shd w:val="clear" w:color="auto" w:fill="auto"/>
            <w:vAlign w:val="center"/>
          </w:tcPr>
          <w:p>
            <w:pPr>
              <w:widowControl/>
              <w:jc w:val="center"/>
              <w:rPr>
                <w:rFonts w:ascii="宋体" w:hAnsi="宋体" w:cs="宋体"/>
                <w:kern w:val="0"/>
                <w:sz w:val="20"/>
                <w:szCs w:val="20"/>
              </w:rPr>
            </w:pPr>
          </w:p>
        </w:tc>
        <w:tc>
          <w:tcPr>
            <w:tcW w:w="2500" w:type="dxa"/>
            <w:shd w:val="clear" w:color="auto" w:fill="auto"/>
            <w:vAlign w:val="center"/>
          </w:tcPr>
          <w:p>
            <w:pPr>
              <w:widowControl/>
              <w:jc w:val="center"/>
              <w:rPr>
                <w:rFonts w:ascii="宋体" w:hAnsi="宋体" w:cs="宋体"/>
                <w:kern w:val="0"/>
                <w:sz w:val="24"/>
              </w:rPr>
            </w:pPr>
          </w:p>
        </w:tc>
        <w:tc>
          <w:tcPr>
            <w:tcW w:w="2220" w:type="dxa"/>
            <w:shd w:val="clear" w:color="auto" w:fill="auto"/>
            <w:vAlign w:val="center"/>
          </w:tcPr>
          <w:p>
            <w:pPr>
              <w:widowControl/>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以前年度结转的尚未抵扣的股权投资余额</w:t>
            </w:r>
          </w:p>
        </w:tc>
        <w:tc>
          <w:tcPr>
            <w:tcW w:w="2320" w:type="dxa"/>
            <w:shd w:val="clear" w:color="auto" w:fill="auto"/>
            <w:vAlign w:val="center"/>
          </w:tcPr>
          <w:p>
            <w:pPr>
              <w:widowControl/>
              <w:jc w:val="center"/>
              <w:rPr>
                <w:rFonts w:ascii="宋体" w:hAnsi="宋体" w:cs="宋体"/>
                <w:kern w:val="0"/>
                <w:sz w:val="20"/>
                <w:szCs w:val="20"/>
              </w:rPr>
            </w:pPr>
          </w:p>
        </w:tc>
        <w:tc>
          <w:tcPr>
            <w:tcW w:w="25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22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本年可抵扣的股权投资额（3+4）</w:t>
            </w:r>
          </w:p>
        </w:tc>
        <w:tc>
          <w:tcPr>
            <w:tcW w:w="2320" w:type="dxa"/>
            <w:shd w:val="clear" w:color="auto" w:fill="auto"/>
            <w:vAlign w:val="center"/>
          </w:tcPr>
          <w:p>
            <w:pPr>
              <w:widowControl/>
              <w:jc w:val="center"/>
              <w:rPr>
                <w:rFonts w:ascii="宋体" w:hAnsi="宋体" w:cs="宋体"/>
                <w:kern w:val="0"/>
                <w:sz w:val="20"/>
                <w:szCs w:val="20"/>
              </w:rPr>
            </w:pPr>
          </w:p>
        </w:tc>
        <w:tc>
          <w:tcPr>
            <w:tcW w:w="25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22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本年可用于抵扣的应纳税所得额</w:t>
            </w:r>
          </w:p>
        </w:tc>
        <w:tc>
          <w:tcPr>
            <w:tcW w:w="2320" w:type="dxa"/>
            <w:shd w:val="clear" w:color="auto" w:fill="auto"/>
            <w:vAlign w:val="center"/>
          </w:tcPr>
          <w:p>
            <w:pPr>
              <w:widowControl/>
              <w:jc w:val="center"/>
              <w:rPr>
                <w:rFonts w:ascii="宋体" w:hAnsi="宋体" w:cs="宋体"/>
                <w:kern w:val="0"/>
                <w:sz w:val="20"/>
                <w:szCs w:val="20"/>
              </w:rPr>
            </w:pPr>
          </w:p>
        </w:tc>
        <w:tc>
          <w:tcPr>
            <w:tcW w:w="25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22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本年实际抵扣应纳税所得额</w:t>
            </w:r>
          </w:p>
        </w:tc>
        <w:tc>
          <w:tcPr>
            <w:tcW w:w="2320" w:type="dxa"/>
            <w:shd w:val="clear" w:color="auto" w:fill="auto"/>
            <w:vAlign w:val="center"/>
          </w:tcPr>
          <w:p>
            <w:pPr>
              <w:widowControl/>
              <w:jc w:val="center"/>
              <w:rPr>
                <w:rFonts w:ascii="宋体" w:hAnsi="宋体" w:cs="宋体"/>
                <w:kern w:val="0"/>
                <w:sz w:val="20"/>
                <w:szCs w:val="20"/>
              </w:rPr>
            </w:pPr>
          </w:p>
        </w:tc>
        <w:tc>
          <w:tcPr>
            <w:tcW w:w="2500" w:type="dxa"/>
            <w:shd w:val="clear" w:color="auto" w:fill="auto"/>
            <w:vAlign w:val="center"/>
          </w:tcPr>
          <w:p>
            <w:pPr>
              <w:widowControl/>
              <w:jc w:val="center"/>
              <w:rPr>
                <w:rFonts w:ascii="宋体" w:hAnsi="宋体" w:cs="宋体"/>
                <w:kern w:val="0"/>
                <w:sz w:val="24"/>
              </w:rPr>
            </w:pPr>
          </w:p>
        </w:tc>
        <w:tc>
          <w:tcPr>
            <w:tcW w:w="2220" w:type="dxa"/>
            <w:shd w:val="clear" w:color="auto" w:fill="auto"/>
            <w:vAlign w:val="center"/>
          </w:tcPr>
          <w:p>
            <w:pPr>
              <w:widowControl/>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结转以后年度抵扣的股权投资余额</w:t>
            </w:r>
          </w:p>
        </w:tc>
        <w:tc>
          <w:tcPr>
            <w:tcW w:w="2320" w:type="dxa"/>
            <w:shd w:val="clear" w:color="auto" w:fill="auto"/>
            <w:vAlign w:val="center"/>
          </w:tcPr>
          <w:p>
            <w:pPr>
              <w:widowControl/>
              <w:jc w:val="center"/>
              <w:rPr>
                <w:rFonts w:ascii="宋体" w:hAnsi="宋体" w:cs="宋体"/>
                <w:kern w:val="0"/>
                <w:sz w:val="20"/>
                <w:szCs w:val="20"/>
              </w:rPr>
            </w:pPr>
          </w:p>
        </w:tc>
        <w:tc>
          <w:tcPr>
            <w:tcW w:w="25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22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14440" w:type="dxa"/>
            <w:gridSpan w:val="5"/>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二、通过有限合伙制创业投资企业投资按一定比例抵扣分得的应纳税所得额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本年从有限合伙创投企业应分得的应纳税所得额</w:t>
            </w:r>
          </w:p>
        </w:tc>
        <w:tc>
          <w:tcPr>
            <w:tcW w:w="2320" w:type="dxa"/>
            <w:shd w:val="clear" w:color="auto" w:fill="auto"/>
            <w:vAlign w:val="center"/>
          </w:tcPr>
          <w:p>
            <w:pPr>
              <w:widowControl/>
              <w:jc w:val="center"/>
              <w:rPr>
                <w:rFonts w:ascii="宋体" w:hAnsi="宋体" w:cs="宋体"/>
                <w:kern w:val="0"/>
                <w:sz w:val="20"/>
                <w:szCs w:val="20"/>
              </w:rPr>
            </w:pPr>
          </w:p>
        </w:tc>
        <w:tc>
          <w:tcPr>
            <w:tcW w:w="2500" w:type="dxa"/>
            <w:shd w:val="clear" w:color="auto" w:fill="auto"/>
            <w:vAlign w:val="center"/>
          </w:tcPr>
          <w:p>
            <w:pPr>
              <w:widowControl/>
              <w:jc w:val="center"/>
              <w:rPr>
                <w:rFonts w:ascii="宋体" w:hAnsi="宋体" w:cs="宋体"/>
                <w:kern w:val="0"/>
                <w:sz w:val="24"/>
              </w:rPr>
            </w:pPr>
          </w:p>
        </w:tc>
        <w:tc>
          <w:tcPr>
            <w:tcW w:w="2220" w:type="dxa"/>
            <w:shd w:val="clear" w:color="auto" w:fill="auto"/>
            <w:vAlign w:val="center"/>
          </w:tcPr>
          <w:p>
            <w:pPr>
              <w:widowControl/>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本年新增的可抵扣投资额</w:t>
            </w:r>
          </w:p>
        </w:tc>
        <w:tc>
          <w:tcPr>
            <w:tcW w:w="2320" w:type="dxa"/>
            <w:shd w:val="clear" w:color="auto" w:fill="auto"/>
            <w:vAlign w:val="center"/>
          </w:tcPr>
          <w:p>
            <w:pPr>
              <w:widowControl/>
              <w:jc w:val="center"/>
              <w:rPr>
                <w:rFonts w:ascii="宋体" w:hAnsi="宋体" w:cs="宋体"/>
                <w:kern w:val="0"/>
                <w:sz w:val="20"/>
                <w:szCs w:val="20"/>
              </w:rPr>
            </w:pPr>
          </w:p>
        </w:tc>
        <w:tc>
          <w:tcPr>
            <w:tcW w:w="2500" w:type="dxa"/>
            <w:shd w:val="clear" w:color="auto" w:fill="auto"/>
            <w:vAlign w:val="center"/>
          </w:tcPr>
          <w:p>
            <w:pPr>
              <w:widowControl/>
              <w:jc w:val="center"/>
              <w:rPr>
                <w:rFonts w:ascii="宋体" w:hAnsi="宋体" w:cs="宋体"/>
                <w:kern w:val="0"/>
                <w:sz w:val="24"/>
              </w:rPr>
            </w:pPr>
          </w:p>
        </w:tc>
        <w:tc>
          <w:tcPr>
            <w:tcW w:w="2220" w:type="dxa"/>
            <w:shd w:val="clear" w:color="auto" w:fill="auto"/>
            <w:vAlign w:val="center"/>
          </w:tcPr>
          <w:p>
            <w:pPr>
              <w:widowControl/>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以前年度结转的可抵扣投资额余额</w:t>
            </w:r>
          </w:p>
        </w:tc>
        <w:tc>
          <w:tcPr>
            <w:tcW w:w="2320" w:type="dxa"/>
            <w:shd w:val="clear" w:color="auto" w:fill="auto"/>
            <w:vAlign w:val="center"/>
          </w:tcPr>
          <w:p>
            <w:pPr>
              <w:widowControl/>
              <w:jc w:val="center"/>
              <w:rPr>
                <w:rFonts w:ascii="宋体" w:hAnsi="宋体" w:cs="宋体"/>
                <w:kern w:val="0"/>
                <w:sz w:val="20"/>
                <w:szCs w:val="20"/>
              </w:rPr>
            </w:pPr>
          </w:p>
        </w:tc>
        <w:tc>
          <w:tcPr>
            <w:tcW w:w="25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22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本年可抵扣投资额（10+11）</w:t>
            </w:r>
          </w:p>
        </w:tc>
        <w:tc>
          <w:tcPr>
            <w:tcW w:w="2320" w:type="dxa"/>
            <w:shd w:val="clear" w:color="auto" w:fill="auto"/>
            <w:vAlign w:val="center"/>
          </w:tcPr>
          <w:p>
            <w:pPr>
              <w:widowControl/>
              <w:jc w:val="center"/>
              <w:rPr>
                <w:rFonts w:ascii="宋体" w:hAnsi="宋体" w:cs="宋体"/>
                <w:kern w:val="0"/>
                <w:sz w:val="20"/>
                <w:szCs w:val="20"/>
              </w:rPr>
            </w:pPr>
          </w:p>
        </w:tc>
        <w:tc>
          <w:tcPr>
            <w:tcW w:w="25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22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本年实际抵扣应分得的应纳税所得额</w:t>
            </w:r>
          </w:p>
        </w:tc>
        <w:tc>
          <w:tcPr>
            <w:tcW w:w="2320" w:type="dxa"/>
            <w:shd w:val="clear" w:color="auto" w:fill="auto"/>
            <w:vAlign w:val="center"/>
          </w:tcPr>
          <w:p>
            <w:pPr>
              <w:widowControl/>
              <w:jc w:val="center"/>
              <w:rPr>
                <w:rFonts w:ascii="宋体" w:hAnsi="宋体" w:cs="宋体"/>
                <w:kern w:val="0"/>
                <w:sz w:val="20"/>
                <w:szCs w:val="20"/>
              </w:rPr>
            </w:pPr>
          </w:p>
        </w:tc>
        <w:tc>
          <w:tcPr>
            <w:tcW w:w="2500" w:type="dxa"/>
            <w:shd w:val="clear" w:color="auto" w:fill="auto"/>
            <w:vAlign w:val="center"/>
          </w:tcPr>
          <w:p>
            <w:pPr>
              <w:widowControl/>
              <w:jc w:val="center"/>
              <w:rPr>
                <w:rFonts w:ascii="宋体" w:hAnsi="宋体" w:cs="宋体"/>
                <w:kern w:val="0"/>
                <w:sz w:val="24"/>
              </w:rPr>
            </w:pPr>
          </w:p>
        </w:tc>
        <w:tc>
          <w:tcPr>
            <w:tcW w:w="2220" w:type="dxa"/>
            <w:shd w:val="clear" w:color="auto" w:fill="auto"/>
            <w:vAlign w:val="center"/>
          </w:tcPr>
          <w:p>
            <w:pPr>
              <w:widowControl/>
              <w:jc w:val="center"/>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结转以后年度抵扣的投资额余额</w:t>
            </w:r>
          </w:p>
        </w:tc>
        <w:tc>
          <w:tcPr>
            <w:tcW w:w="2320" w:type="dxa"/>
            <w:shd w:val="clear" w:color="auto" w:fill="auto"/>
            <w:vAlign w:val="center"/>
          </w:tcPr>
          <w:p>
            <w:pPr>
              <w:widowControl/>
              <w:jc w:val="center"/>
              <w:rPr>
                <w:rFonts w:ascii="宋体" w:hAnsi="宋体" w:cs="宋体"/>
                <w:kern w:val="0"/>
                <w:sz w:val="20"/>
                <w:szCs w:val="20"/>
              </w:rPr>
            </w:pPr>
          </w:p>
        </w:tc>
        <w:tc>
          <w:tcPr>
            <w:tcW w:w="25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22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14440" w:type="dxa"/>
            <w:gridSpan w:val="5"/>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三、抵扣应纳税所得额合计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676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合计（7+13）</w:t>
            </w:r>
          </w:p>
        </w:tc>
        <w:tc>
          <w:tcPr>
            <w:tcW w:w="2320" w:type="dxa"/>
            <w:shd w:val="clear" w:color="auto" w:fill="auto"/>
            <w:vAlign w:val="center"/>
          </w:tcPr>
          <w:p>
            <w:pPr>
              <w:widowControl/>
              <w:jc w:val="center"/>
              <w:rPr>
                <w:rFonts w:ascii="宋体" w:hAnsi="宋体" w:cs="宋体"/>
                <w:kern w:val="0"/>
                <w:sz w:val="20"/>
                <w:szCs w:val="20"/>
              </w:rPr>
            </w:pPr>
          </w:p>
        </w:tc>
        <w:tc>
          <w:tcPr>
            <w:tcW w:w="2500" w:type="dxa"/>
            <w:shd w:val="clear" w:color="auto" w:fill="auto"/>
            <w:vAlign w:val="center"/>
          </w:tcPr>
          <w:p>
            <w:pPr>
              <w:widowControl/>
              <w:jc w:val="center"/>
              <w:rPr>
                <w:rFonts w:ascii="宋体" w:hAnsi="宋体" w:cs="宋体"/>
                <w:kern w:val="0"/>
                <w:sz w:val="24"/>
              </w:rPr>
            </w:pPr>
          </w:p>
        </w:tc>
        <w:tc>
          <w:tcPr>
            <w:tcW w:w="2220" w:type="dxa"/>
            <w:shd w:val="clear" w:color="auto" w:fill="auto"/>
            <w:vAlign w:val="center"/>
          </w:tcPr>
          <w:p>
            <w:pPr>
              <w:widowControl/>
              <w:jc w:val="center"/>
              <w:rPr>
                <w:rFonts w:ascii="宋体" w:hAnsi="宋体" w:cs="宋体"/>
                <w:kern w:val="0"/>
                <w:sz w:val="24"/>
              </w:rPr>
            </w:pPr>
          </w:p>
        </w:tc>
      </w:tr>
    </w:tbl>
    <w:p>
      <w:pPr>
        <w:tabs>
          <w:tab w:val="left" w:pos="2190"/>
        </w:tabs>
        <w:sectPr>
          <w:pgSz w:w="16838" w:h="11906" w:orient="landscape"/>
          <w:pgMar w:top="1418" w:right="1985" w:bottom="1418" w:left="1928" w:header="851" w:footer="992" w:gutter="113"/>
          <w:cols w:space="425" w:num="1"/>
          <w:docGrid w:linePitch="312" w:charSpace="0"/>
        </w:sectPr>
      </w:pPr>
      <w:r>
        <w:tab/>
      </w:r>
    </w:p>
    <w:p>
      <w:pPr>
        <w:pStyle w:val="8"/>
        <w:spacing w:before="240" w:after="360"/>
        <w:rPr>
          <w:color w:val="000000"/>
        </w:rPr>
      </w:pPr>
      <w:bookmarkStart w:id="88" w:name="_Toc499456606"/>
      <w:bookmarkStart w:id="89" w:name="_Toc393471139"/>
      <w:bookmarkStart w:id="90" w:name="_Toc390864029"/>
      <w:r>
        <w:rPr>
          <w:rFonts w:hint="eastAsia"/>
          <w:color w:val="000000"/>
        </w:rPr>
        <w:t>A107030</w:t>
      </w:r>
      <w:r>
        <w:rPr>
          <w:color w:val="000000"/>
        </w:rPr>
        <w:tab/>
      </w:r>
      <w:r>
        <w:rPr>
          <w:rFonts w:hint="eastAsia"/>
          <w:color w:val="000000"/>
        </w:rPr>
        <w:t>《抵扣应纳税所得额明细表》填报说明</w:t>
      </w:r>
      <w:bookmarkEnd w:id="88"/>
    </w:p>
    <w:p>
      <w:pPr>
        <w:pStyle w:val="9"/>
        <w:rPr>
          <w:color w:val="000000"/>
        </w:rPr>
      </w:pPr>
      <w:r>
        <w:rPr>
          <w:rFonts w:hint="eastAsia"/>
          <w:color w:val="000000"/>
        </w:rPr>
        <w:t>本表适用于享受创业投资企业抵扣应纳税所得额优惠（含结转）的纳税人填报。纳税人根据税法、《国家税务总局关于实施创业投资企业所得税优惠问题的通知》（国税发〔2009〕87号）、《财政部 国家税务总局关于执行企业所得税优惠政策若干问题的通知》（财税〔2009〕69号）、《财政部 国家税务总局关于将国家自主创新示范区有关税收试点政策推广到全国范围实施的通知》（财税〔2015〕116号）、《国家税务总局关于有限合伙制创业投资企业法人合伙人企业所得税有关问题的公告》（国家税务总局公告2015年第81号）、《财政部 税务总局关于创业投资企业和天使投资个人有关税收试点政策的通知》（财税〔2017〕38号）、《国家税务总局关于创业投资企业和天使投资个人税收试点政策有关问题的公告》（国家税务总局公告2017年第20号）等规定，填报本年度发生的创业投资企业抵扣应纳税所得额优惠情况。企业只要本年有新增符合条件的投资额、从</w:t>
      </w:r>
      <w:r>
        <w:rPr>
          <w:rFonts w:hint="eastAsia"/>
        </w:rPr>
        <w:t>有限合伙制创业投资企业分得</w:t>
      </w:r>
      <w:r>
        <w:rPr>
          <w:rFonts w:hint="eastAsia"/>
          <w:color w:val="000000"/>
        </w:rPr>
        <w:t>的应纳税所得额或以前年度结转的尚未抵扣的股权投资余额，无论本年是否抵扣应纳税所得额，均需填报本表。</w:t>
      </w:r>
    </w:p>
    <w:p>
      <w:pPr>
        <w:pStyle w:val="11"/>
        <w:ind w:firstLine="482"/>
      </w:pPr>
      <w:r>
        <w:rPr>
          <w:rFonts w:hint="eastAsia"/>
        </w:rPr>
        <w:t>一、有关项目填报说明</w:t>
      </w:r>
    </w:p>
    <w:p>
      <w:pPr>
        <w:pStyle w:val="9"/>
        <w:rPr>
          <w:rFonts w:hint="eastAsia"/>
          <w:color w:val="000000"/>
        </w:rPr>
      </w:pPr>
      <w:r>
        <w:rPr>
          <w:rFonts w:hint="eastAsia"/>
          <w:color w:val="000000"/>
        </w:rPr>
        <w:t>企业同时存在创业投资企业直接投资和</w:t>
      </w:r>
      <w:r>
        <w:rPr>
          <w:rFonts w:hint="eastAsia"/>
        </w:rPr>
        <w:t>通过有限合伙制创业投资企业投资两种情形的</w:t>
      </w:r>
      <w:r>
        <w:rPr>
          <w:rFonts w:hint="eastAsia"/>
          <w:color w:val="000000"/>
        </w:rPr>
        <w:t>，应先填写本表的</w:t>
      </w:r>
      <w:r>
        <w:rPr>
          <w:rFonts w:hint="eastAsia"/>
        </w:rPr>
        <w:t>“二、通过有限合伙制创业投资企业投资按一定比例抵扣分得的应纳税所得额”</w:t>
      </w:r>
      <w:r>
        <w:rPr>
          <w:rFonts w:hint="eastAsia"/>
          <w:color w:val="000000"/>
        </w:rPr>
        <w:t>。</w:t>
      </w:r>
    </w:p>
    <w:p>
      <w:pPr>
        <w:pStyle w:val="9"/>
        <w:rPr>
          <w:color w:val="000000"/>
        </w:rPr>
      </w:pPr>
      <w:r>
        <w:rPr>
          <w:rFonts w:hint="eastAsia"/>
          <w:color w:val="000000"/>
        </w:rPr>
        <w:t>（一）“一、创业投资企业直接投资按投资额一定比例抵扣应纳税所得额”：由创业投资企业（非合伙制）纳税人填报其以股权投资方式直接投资未上市的中小高新技术企业和投资于种子期、初创期科技型企业2年（24个月，下同）以上限额抵免应纳税所得额的金额。对于通过有限合伙制创业投资企业间接投资未上市的中小高新技术企业和投资于种子期、初创期科技型企业享受优惠政策填写本表第9行至第14行。具体行次如下：</w:t>
      </w:r>
    </w:p>
    <w:p>
      <w:pPr>
        <w:pStyle w:val="9"/>
        <w:rPr>
          <w:color w:val="000000"/>
        </w:rPr>
      </w:pPr>
      <w:r>
        <w:rPr>
          <w:rFonts w:hint="eastAsia"/>
          <w:color w:val="000000"/>
        </w:rPr>
        <w:t>1.第1行“本年新增的符合条件的股权投资额”：填报创业投资企业采取股权投资方式投资于未上市的中小高新技术企业和投资于种子期、初创期科技型企业满2年的，本年新增的符合条件的股权投资额。本行第1列＝本行第2列+本行第3列。无论企业本年是否盈利，有符合条件的投资额即填报本表，以后年度盈利时填写第4行“以前年度结转的尚未抵扣的股权投资余额”。</w:t>
      </w:r>
    </w:p>
    <w:p>
      <w:pPr>
        <w:pStyle w:val="9"/>
        <w:rPr>
          <w:color w:val="000000"/>
        </w:rPr>
      </w:pPr>
      <w:r>
        <w:rPr>
          <w:rFonts w:hint="eastAsia"/>
          <w:color w:val="000000"/>
        </w:rPr>
        <w:t>2.第3行“本年新增的可抵扣的股权投资额”：本行填报第1×2行金额。本行第1列＝本行第2列+本行第3列。</w:t>
      </w:r>
    </w:p>
    <w:p>
      <w:pPr>
        <w:pStyle w:val="9"/>
        <w:rPr>
          <w:color w:val="000000"/>
        </w:rPr>
      </w:pPr>
      <w:r>
        <w:rPr>
          <w:rFonts w:hint="eastAsia"/>
          <w:color w:val="000000"/>
        </w:rPr>
        <w:t>3.第4行“以前年度结转的尚未抵扣的股权投资余额”：填报以前年度符合条件的尚未抵扣的股权投资余额。</w:t>
      </w:r>
    </w:p>
    <w:p>
      <w:pPr>
        <w:pStyle w:val="9"/>
      </w:pPr>
      <w:r>
        <w:rPr>
          <w:rFonts w:hint="eastAsia"/>
        </w:rPr>
        <w:t>4.第5行“本年可抵扣的股权投资额”：本行填报第3+4行的合计金额。</w:t>
      </w:r>
    </w:p>
    <w:p>
      <w:pPr>
        <w:pStyle w:val="9"/>
      </w:pPr>
      <w:r>
        <w:rPr>
          <w:rFonts w:hint="eastAsia"/>
        </w:rPr>
        <w:t>5.第6行“本年可用于抵扣的应纳税所得额合计金额”：本行第1列填报表A100000第19-20-21行-本表第13行第1列“本年实际抵扣应分得的应纳税所得额”的金额，若金额小于零，则填报零。</w:t>
      </w:r>
    </w:p>
    <w:p>
      <w:pPr>
        <w:pStyle w:val="9"/>
      </w:pPr>
      <w:r>
        <w:rPr>
          <w:rFonts w:hint="eastAsia"/>
        </w:rPr>
        <w:t>6.第7行“本年实际抵扣应纳税所得额”：若第5行第1列≤第6行第1列，则本行第1列＝第5行第1列；若第5行第1列＞第6行第1列，则本行第1列＝第6行第1列。本行第1列＝本行第2列+本行第3列。</w:t>
      </w:r>
    </w:p>
    <w:p>
      <w:pPr>
        <w:pStyle w:val="9"/>
      </w:pPr>
      <w:r>
        <w:rPr>
          <w:rFonts w:hint="eastAsia"/>
        </w:rPr>
        <w:t>7.第8行“结转以后年度抵扣的股权投资余额”：填报本年可抵扣的股权投资额大于本年实际抵扣应纳税所得额时，抵扣后余额部分结转以后年度抵扣的金额。</w:t>
      </w:r>
    </w:p>
    <w:p>
      <w:pPr>
        <w:pStyle w:val="9"/>
      </w:pPr>
      <w:r>
        <w:rPr>
          <w:rFonts w:hint="eastAsia"/>
        </w:rPr>
        <w:t>（二）“二、通过有限合伙制创业投资企业投资按一定比例抵扣分得的应纳税所得额”：企业作为有限合伙制创业投资企业的合伙人，通过合伙企业间接投资未上市中小高新技术企业和种子期、初创期科技型企业，享受有限合伙制创业投资企业法人合伙人按投资额的一定比例抵扣应纳税所得额政策，在本部分填报。</w:t>
      </w:r>
    </w:p>
    <w:p>
      <w:pPr>
        <w:pStyle w:val="9"/>
      </w:pPr>
      <w:r>
        <w:rPr>
          <w:rFonts w:hint="eastAsia"/>
        </w:rPr>
        <w:t>1.第9行“本年从有限合伙创投企业应分得的应纳税所得额”：填写企业作为法人合伙人，通过有限合伙制创业投资企业投资未上市的中小高新技术企业或者投资于种子期、初创期科技型企业，无论本年是否盈利、是否抵扣应纳税所得额，只要本年从有限合伙制创业投资企业中分配归属于该法人合伙人的应纳税所得额，需填写本行。本行第1列＝本行第2列+本行第3列。</w:t>
      </w:r>
    </w:p>
    <w:p>
      <w:pPr>
        <w:pStyle w:val="9"/>
      </w:pPr>
      <w:r>
        <w:rPr>
          <w:rFonts w:hint="eastAsia"/>
        </w:rPr>
        <w:t>2.第10行“本年新增的可抵扣投资额”：填写企业作为法人合伙人，通过有限合伙制创业投资企业投资未上市中小高新技术企业和种子期、初创期科技型企业，本年投资满2年符合条件的可抵扣投资额中归属于该法人合伙人的本年新增可抵扣投资额。无论本年是否盈利、是否需要抵扣应纳税所得额，均需填写本行。本行第1列＝本行第2列+本行第3列。</w:t>
      </w:r>
    </w:p>
    <w:p>
      <w:pPr>
        <w:pStyle w:val="9"/>
      </w:pPr>
      <w:r>
        <w:rPr>
          <w:rFonts w:hint="eastAsia"/>
        </w:rPr>
        <w:t>有限合伙制创业投资企业的法人合伙人对未上市中小高新技术企业和种子期、初创期科技型企业的投资额，按照有限合伙制创业投资企业的投资额和合伙协议约定的法人合伙人占有限合伙制创业投资企业的出资比例计算确定。其中，有限合伙制创业投资企业的投资额按实缴投资额计算；法人合伙人占有限合伙制创业投资企业的出资比例按法人合伙人对有限合伙制创业投资企业的实缴出资额占该有限合伙制创业投资企业的全部实缴出资额的比例计算。</w:t>
      </w:r>
    </w:p>
    <w:p>
      <w:pPr>
        <w:pStyle w:val="9"/>
      </w:pPr>
      <w:r>
        <w:rPr>
          <w:rFonts w:hint="eastAsia"/>
        </w:rPr>
        <w:t>3.第11行“以前年度结转的可抵扣投资额”：填写法人合伙人上年度未抵扣，可以结转到本年及以后年度的抵扣投资额。</w:t>
      </w:r>
    </w:p>
    <w:p>
      <w:pPr>
        <w:pStyle w:val="9"/>
      </w:pPr>
      <w:r>
        <w:rPr>
          <w:rFonts w:hint="eastAsia"/>
        </w:rPr>
        <w:t>4.第12行“本年可抵扣投资额”：填写本年法人合伙人可用于抵扣的投资额合计，包括本年新增和以前年度结转两部分，等于第10行+第11行。</w:t>
      </w:r>
    </w:p>
    <w:p>
      <w:pPr>
        <w:pStyle w:val="9"/>
      </w:pPr>
      <w:r>
        <w:rPr>
          <w:rFonts w:hint="eastAsia"/>
        </w:rPr>
        <w:t>5.第13行“本年实际抵扣应分得的应纳税所得额”：填写本年法人合伙人享受优惠实际抵扣的投资额，本行第1列为第9行第1列“本年从有限合伙创投企业应分得的应纳税所得额”、第12行第1列“本年可抵扣投资额”、主表第19-20-21行的三者孰小值，若金额小于零，则填报零。本行第1列＝第2+3列。</w:t>
      </w:r>
    </w:p>
    <w:p>
      <w:pPr>
        <w:pStyle w:val="9"/>
      </w:pPr>
      <w:r>
        <w:rPr>
          <w:rFonts w:hint="eastAsia"/>
        </w:rPr>
        <w:t>6.第14行“结转以后年度抵扣的投资额余额”：本年可抵扣投资额大于应分得的应纳税所得额时，抵扣后余额部分结转以后年度抵扣的金额。</w:t>
      </w:r>
    </w:p>
    <w:p>
      <w:pPr>
        <w:pStyle w:val="9"/>
      </w:pPr>
      <w:r>
        <w:rPr>
          <w:rFonts w:hint="eastAsia"/>
        </w:rPr>
        <w:t>（三）“三、抵扣应纳税所得额合计”：上述优惠合计额，带入表A100000表计算应纳税所得额。</w:t>
      </w:r>
    </w:p>
    <w:p>
      <w:pPr>
        <w:pStyle w:val="9"/>
      </w:pPr>
      <w:r>
        <w:rPr>
          <w:rFonts w:hint="eastAsia"/>
        </w:rPr>
        <w:t>第15行“合计”＝7行+13行。本行第1列＝本行第2列+本行第3列。</w:t>
      </w:r>
    </w:p>
    <w:p>
      <w:pPr>
        <w:pStyle w:val="9"/>
      </w:pPr>
      <w:r>
        <w:rPr>
          <w:rFonts w:hint="eastAsia"/>
        </w:rPr>
        <w:t>（四）列次填报：第1列填报抵扣应纳税所得额的整体情况，第2列填报投资于未上市中小高新技术企业部分，第3列填报投资于种子期、初创期科技型企业部分。</w:t>
      </w:r>
    </w:p>
    <w:p>
      <w:pPr>
        <w:pStyle w:val="11"/>
        <w:ind w:firstLine="482"/>
      </w:pPr>
      <w:r>
        <w:rPr>
          <w:rFonts w:hint="eastAsia"/>
        </w:rPr>
        <w:t>二、表内、表间关系</w:t>
      </w:r>
    </w:p>
    <w:p>
      <w:pPr>
        <w:pStyle w:val="12"/>
      </w:pPr>
      <w:r>
        <w:rPr>
          <w:rFonts w:hint="eastAsia"/>
        </w:rPr>
        <w:t>（一）表内关系</w:t>
      </w:r>
    </w:p>
    <w:p>
      <w:pPr>
        <w:pStyle w:val="9"/>
      </w:pPr>
      <w:r>
        <w:rPr>
          <w:rFonts w:hint="eastAsia"/>
        </w:rPr>
        <w:t>1.第3行＝第1×2行。</w:t>
      </w:r>
    </w:p>
    <w:p>
      <w:pPr>
        <w:pStyle w:val="9"/>
      </w:pPr>
      <w:r>
        <w:rPr>
          <w:rFonts w:hint="eastAsia"/>
        </w:rPr>
        <w:t>2.第5行＝第3+4行。</w:t>
      </w:r>
    </w:p>
    <w:p>
      <w:pPr>
        <w:pStyle w:val="9"/>
      </w:pPr>
      <w:r>
        <w:rPr>
          <w:rFonts w:hint="eastAsia"/>
        </w:rPr>
        <w:t>3.第7行：若第5行≤第6行，则本行第1列＝第5行；第5行＞第6行，则本行第1列＝第6行。</w:t>
      </w:r>
    </w:p>
    <w:p>
      <w:pPr>
        <w:pStyle w:val="9"/>
      </w:pPr>
      <w:r>
        <w:rPr>
          <w:rFonts w:hint="eastAsia"/>
        </w:rPr>
        <w:t>4.第8行：第5行＞第6行时，本行＝第5-7行；第5行≤第6行时，本行＝0。</w:t>
      </w:r>
    </w:p>
    <w:p>
      <w:pPr>
        <w:pStyle w:val="9"/>
      </w:pPr>
      <w:r>
        <w:rPr>
          <w:rFonts w:hint="eastAsia"/>
        </w:rPr>
        <w:t>5.第12行＝第10+11行。</w:t>
      </w:r>
    </w:p>
    <w:p>
      <w:pPr>
        <w:pStyle w:val="9"/>
      </w:pPr>
      <w:r>
        <w:rPr>
          <w:rFonts w:hint="eastAsia"/>
        </w:rPr>
        <w:t>6.第14行＝第12-13行。</w:t>
      </w:r>
    </w:p>
    <w:p>
      <w:pPr>
        <w:pStyle w:val="9"/>
      </w:pPr>
      <w:r>
        <w:rPr>
          <w:rFonts w:hint="eastAsia"/>
        </w:rPr>
        <w:t>7.第15行＝第7+13行。</w:t>
      </w:r>
    </w:p>
    <w:p>
      <w:pPr>
        <w:pStyle w:val="9"/>
      </w:pPr>
      <w:r>
        <w:rPr>
          <w:rFonts w:hint="eastAsia"/>
        </w:rPr>
        <w:t>8.第1列＝第2列+第3列。</w:t>
      </w:r>
    </w:p>
    <w:p>
      <w:pPr>
        <w:pStyle w:val="12"/>
      </w:pPr>
      <w:r>
        <w:rPr>
          <w:rFonts w:hint="eastAsia"/>
        </w:rPr>
        <w:t>（二）表间关系</w:t>
      </w:r>
    </w:p>
    <w:p>
      <w:pPr>
        <w:pStyle w:val="9"/>
      </w:pPr>
      <w:r>
        <w:rPr>
          <w:rFonts w:hint="eastAsia"/>
        </w:rPr>
        <w:t>1.第6行第1列＝表A100000第19-20-21行-本表第13行第1列；若表A100000第19-20-21行-本表第13行第1列＜0，第6行第1列＝0。</w:t>
      </w:r>
    </w:p>
    <w:p>
      <w:pPr>
        <w:pStyle w:val="9"/>
      </w:pPr>
      <w:r>
        <w:rPr>
          <w:rFonts w:hint="eastAsia"/>
        </w:rPr>
        <w:t>2.第15行第1列＝表A100000第22行。</w:t>
      </w:r>
    </w:p>
    <w:p>
      <w:pPr>
        <w:pStyle w:val="9"/>
        <w:rPr>
          <w:bCs/>
        </w:rPr>
      </w:pPr>
      <w:r>
        <w:rPr>
          <w:rFonts w:hint="eastAsia"/>
        </w:rPr>
        <w:t>3.第13行第1列＝本表第9行第1列、第12行第1列、表A100000第19-20-21行三者的孰小值；若上述孰小值＜0，第13行第1列＝0。</w:t>
      </w:r>
    </w:p>
    <w:p>
      <w:pPr>
        <w:pStyle w:val="10"/>
        <w:sectPr>
          <w:pgSz w:w="11906" w:h="16838"/>
          <w:pgMar w:top="1985" w:right="1418" w:bottom="1928" w:left="1418" w:header="851" w:footer="992" w:gutter="113"/>
          <w:cols w:space="425" w:num="1"/>
          <w:titlePg/>
          <w:docGrid w:linePitch="312" w:charSpace="0"/>
        </w:sectPr>
      </w:pPr>
    </w:p>
    <w:p>
      <w:pPr>
        <w:pStyle w:val="10"/>
      </w:pPr>
      <w:bookmarkStart w:id="91" w:name="_Toc499456607"/>
      <w:r>
        <w:rPr>
          <w:rFonts w:hint="eastAsia"/>
        </w:rPr>
        <w:t>A107040</w:t>
      </w:r>
      <w:r>
        <w:tab/>
      </w:r>
      <w:r>
        <w:rPr>
          <w:rFonts w:hint="eastAsia"/>
        </w:rPr>
        <w:t>减免所得税优惠明细表</w:t>
      </w:r>
      <w:bookmarkEnd w:id="91"/>
    </w:p>
    <w:tbl>
      <w:tblPr>
        <w:tblStyle w:val="7"/>
        <w:tblW w:w="99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8276"/>
        <w:gridCol w:w="1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行次</w:t>
            </w:r>
          </w:p>
        </w:tc>
        <w:tc>
          <w:tcPr>
            <w:tcW w:w="8276"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          目</w:t>
            </w:r>
          </w:p>
        </w:tc>
        <w:tc>
          <w:tcPr>
            <w:tcW w:w="1040"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  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一、符合条件的小型微利企业减免企业所得税</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二、国家需要重点扶持的高新技术企业减按15%的税率征收企业所得税（填写A107041）</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三、经济特区和上海浦东新区新设立的高新技术企业在区内取得的所得定期减免企业所得税（填写A107041）</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四、受灾地区农村信用社免征企业所得税（4.1+4.2）</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4.1</w:t>
            </w:r>
          </w:p>
        </w:tc>
        <w:tc>
          <w:tcPr>
            <w:tcW w:w="8276"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（一）芦山受灾地区农村信用社免征企业所得税</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4.2</w:t>
            </w:r>
          </w:p>
        </w:tc>
        <w:tc>
          <w:tcPr>
            <w:tcW w:w="8276"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（二）鲁甸受灾地区农村信用社免征企业所得税</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五、动漫企业自主开发、生产动漫产品定期减免企业所得税</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6</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六、线宽小于0.8微米（含）的集成电路生产企业减免企业所得税（填写A107042）</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七、线宽小于0.25微米的集成电路生产企业减按15%税率征收企业所得税（填写A107042）</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8</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八、投资额超过80亿元的集成电路生产企业减按15%税率征收企业所得税（填写A107042）</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九、线宽小于0.25微米的集成电路生产企业减免企业所得税（填写A107042）</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十、投资额超过80亿元的集成电路生产企业减免企业所得税（填写A107042）</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十一、新办集成电路设计企业减免企业所得税（填写A107042）</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十二、国家规划布局内集成电路设计企业可减按10%的税率征收企业所得税（填写A107042）</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十三、符合条件的软件企业减免企业所得税（填写A107042）</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14</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十四、国家规划布局内重点软件企业可减按10%的税率征收企业所得税（填写A107042）</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15</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十五、符合条件的集成电路封装、测试企业定期减免企业所得税（填写A107042）</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十六、符合条件的集成电路关键专用材料生产企业、集成电路专用设备生产企业定期减免企业所得税（填写A107042）</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8"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十七、经营性文化事业单位转制为企业的免征企业所得税</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18</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十八、符合条件的生产和装配伤残人员专门用品企业免征企业所得税</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19</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十九、技术先进型服务企业减按15%的税率征收企业所得税</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二十、服务贸易创新发展试点地区符合条件的技术先进型服务企业减按15%的税率征收企业所得税</w:t>
            </w:r>
          </w:p>
        </w:tc>
        <w:tc>
          <w:tcPr>
            <w:tcW w:w="1040" w:type="dxa"/>
            <w:shd w:val="clear" w:color="auto" w:fill="auto"/>
            <w:vAlign w:val="center"/>
          </w:tcPr>
          <w:p>
            <w:pPr>
              <w:widowControl/>
              <w:jc w:val="right"/>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21</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二十一、设在西部地区的鼓励类产业企业减按15%的税率征收企业所得税</w:t>
            </w:r>
          </w:p>
        </w:tc>
        <w:tc>
          <w:tcPr>
            <w:tcW w:w="1040" w:type="dxa"/>
            <w:shd w:val="clear" w:color="auto" w:fill="auto"/>
            <w:vAlign w:val="center"/>
          </w:tcPr>
          <w:p>
            <w:pPr>
              <w:widowControl/>
              <w:jc w:val="right"/>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二十二、新疆困难地区新办企业定期减免企业所得税</w:t>
            </w:r>
          </w:p>
        </w:tc>
        <w:tc>
          <w:tcPr>
            <w:tcW w:w="1040" w:type="dxa"/>
            <w:shd w:val="clear" w:color="auto" w:fill="auto"/>
            <w:vAlign w:val="center"/>
          </w:tcPr>
          <w:p>
            <w:pPr>
              <w:widowControl/>
              <w:jc w:val="right"/>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23</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二十三、新疆喀什、霍尔果斯特殊经济开发区新办企业定期免征企业所得税</w:t>
            </w:r>
          </w:p>
        </w:tc>
        <w:tc>
          <w:tcPr>
            <w:tcW w:w="1040" w:type="dxa"/>
            <w:shd w:val="clear" w:color="auto" w:fill="auto"/>
            <w:vAlign w:val="center"/>
          </w:tcPr>
          <w:p>
            <w:pPr>
              <w:widowControl/>
              <w:jc w:val="right"/>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24</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二十四、广东横琴、福建平潭、深圳前海等地区的鼓励类产业企业减按15%税率征收企业所得税</w:t>
            </w:r>
          </w:p>
        </w:tc>
        <w:tc>
          <w:tcPr>
            <w:tcW w:w="1040" w:type="dxa"/>
            <w:shd w:val="clear" w:color="auto" w:fill="auto"/>
            <w:vAlign w:val="center"/>
          </w:tcPr>
          <w:p>
            <w:pPr>
              <w:widowControl/>
              <w:jc w:val="right"/>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25</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二十五、北京冬奥组委、</w:t>
            </w:r>
            <w:r>
              <w:rPr>
                <w:rFonts w:ascii="宋体" w:hAnsi="宋体" w:cs="宋体"/>
                <w:color w:val="000000"/>
                <w:kern w:val="0"/>
                <w:sz w:val="20"/>
                <w:szCs w:val="20"/>
              </w:rPr>
              <w:t>北京冬奥会测试赛赛事组委会</w:t>
            </w:r>
            <w:r>
              <w:rPr>
                <w:rFonts w:hint="eastAsia" w:ascii="宋体" w:hAnsi="宋体" w:cs="宋体"/>
                <w:color w:val="000000"/>
                <w:kern w:val="0"/>
                <w:sz w:val="20"/>
                <w:szCs w:val="20"/>
              </w:rPr>
              <w:t>免征企业所得税</w:t>
            </w:r>
          </w:p>
        </w:tc>
        <w:tc>
          <w:tcPr>
            <w:tcW w:w="1040" w:type="dxa"/>
            <w:shd w:val="clear" w:color="auto" w:fill="auto"/>
            <w:vAlign w:val="center"/>
          </w:tcPr>
          <w:p>
            <w:pPr>
              <w:widowControl/>
              <w:jc w:val="right"/>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26</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二十六、享受过渡期税收优惠定期减免企业所得税</w:t>
            </w:r>
          </w:p>
        </w:tc>
        <w:tc>
          <w:tcPr>
            <w:tcW w:w="1040" w:type="dxa"/>
            <w:shd w:val="clear" w:color="auto" w:fill="auto"/>
            <w:vAlign w:val="center"/>
          </w:tcPr>
          <w:p>
            <w:pPr>
              <w:widowControl/>
              <w:jc w:val="right"/>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27</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二十七、其他</w:t>
            </w:r>
          </w:p>
        </w:tc>
        <w:tc>
          <w:tcPr>
            <w:tcW w:w="1040" w:type="dxa"/>
            <w:shd w:val="clear" w:color="auto" w:fill="auto"/>
            <w:vAlign w:val="center"/>
          </w:tcPr>
          <w:p>
            <w:pPr>
              <w:widowControl/>
              <w:jc w:val="right"/>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二十八、减：项目所得额按法定税率减半征收企业所得税叠加享受减免税优惠</w:t>
            </w:r>
          </w:p>
        </w:tc>
        <w:tc>
          <w:tcPr>
            <w:tcW w:w="1040" w:type="dxa"/>
            <w:shd w:val="clear" w:color="auto" w:fill="auto"/>
            <w:vAlign w:val="center"/>
          </w:tcPr>
          <w:p>
            <w:pPr>
              <w:widowControl/>
              <w:jc w:val="right"/>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29</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二十九、支持和促进重点群体创业就业企业限额减征企业所得税(</w:t>
            </w:r>
            <w:r>
              <w:rPr>
                <w:rFonts w:ascii="宋体" w:hAnsi="宋体" w:cs="宋体"/>
                <w:color w:val="000000"/>
                <w:kern w:val="0"/>
                <w:sz w:val="20"/>
                <w:szCs w:val="20"/>
              </w:rPr>
              <w:t>29</w:t>
            </w:r>
            <w:r>
              <w:rPr>
                <w:rFonts w:hint="eastAsia" w:ascii="宋体" w:hAnsi="宋体" w:cs="宋体"/>
                <w:color w:val="000000"/>
                <w:kern w:val="0"/>
                <w:sz w:val="20"/>
                <w:szCs w:val="20"/>
              </w:rPr>
              <w:t>.1+29.2)</w:t>
            </w:r>
          </w:p>
        </w:tc>
        <w:tc>
          <w:tcPr>
            <w:tcW w:w="1040" w:type="dxa"/>
            <w:shd w:val="clear" w:color="auto" w:fill="auto"/>
            <w:vAlign w:val="center"/>
          </w:tcPr>
          <w:p>
            <w:pPr>
              <w:widowControl/>
              <w:jc w:val="right"/>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29.1</w:t>
            </w:r>
          </w:p>
        </w:tc>
        <w:tc>
          <w:tcPr>
            <w:tcW w:w="8276"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（一）下岗失业人员再就业</w:t>
            </w:r>
          </w:p>
        </w:tc>
        <w:tc>
          <w:tcPr>
            <w:tcW w:w="1040" w:type="dxa"/>
            <w:shd w:val="clear" w:color="auto" w:fill="auto"/>
            <w:vAlign w:val="center"/>
          </w:tcPr>
          <w:p>
            <w:pPr>
              <w:widowControl/>
              <w:jc w:val="right"/>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29</w:t>
            </w:r>
            <w:r>
              <w:rPr>
                <w:rFonts w:hint="eastAsia" w:ascii="宋体" w:hAnsi="宋体" w:cs="宋体"/>
                <w:color w:val="000000"/>
                <w:kern w:val="0"/>
                <w:sz w:val="20"/>
                <w:szCs w:val="20"/>
              </w:rPr>
              <w:t>.</w:t>
            </w:r>
            <w:r>
              <w:rPr>
                <w:rFonts w:ascii="宋体" w:hAnsi="宋体" w:cs="宋体"/>
                <w:color w:val="000000"/>
                <w:kern w:val="0"/>
                <w:sz w:val="20"/>
                <w:szCs w:val="20"/>
              </w:rPr>
              <w:t>2</w:t>
            </w:r>
          </w:p>
        </w:tc>
        <w:tc>
          <w:tcPr>
            <w:tcW w:w="8276" w:type="dxa"/>
            <w:shd w:val="clear" w:color="auto" w:fill="auto"/>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（二）高校毕业生就业</w:t>
            </w:r>
          </w:p>
        </w:tc>
        <w:tc>
          <w:tcPr>
            <w:tcW w:w="1040" w:type="dxa"/>
            <w:shd w:val="clear" w:color="auto" w:fill="auto"/>
            <w:vAlign w:val="center"/>
          </w:tcPr>
          <w:p>
            <w:pPr>
              <w:widowControl/>
              <w:jc w:val="right"/>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三十、扶持自主就业退役士兵创业就业企业限额减征企业所得税</w:t>
            </w:r>
          </w:p>
        </w:tc>
        <w:tc>
          <w:tcPr>
            <w:tcW w:w="1040" w:type="dxa"/>
            <w:shd w:val="clear" w:color="auto" w:fill="auto"/>
            <w:vAlign w:val="center"/>
          </w:tcPr>
          <w:p>
            <w:pPr>
              <w:widowControl/>
              <w:jc w:val="right"/>
              <w:rPr>
                <w:rFonts w:ascii="宋体" w:hAns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kern w:val="0"/>
                <w:sz w:val="20"/>
                <w:szCs w:val="20"/>
              </w:rPr>
              <w:t>三十一、民族自治地方的自治机关对本民族自治地方的企业应缴纳的企业所得税中属于地方分享的部分减征或免征</w:t>
            </w:r>
            <w:bookmarkStart w:id="92" w:name="_Hlk499128624"/>
            <w:r>
              <w:rPr>
                <w:rFonts w:hint="eastAsia" w:ascii="宋体" w:hAnsi="宋体" w:cs="宋体"/>
                <w:kern w:val="0"/>
                <w:sz w:val="20"/>
                <w:szCs w:val="20"/>
              </w:rPr>
              <w:t>（</w:t>
            </w:r>
            <w:r>
              <w:rPr>
                <w:rFonts w:hint="eastAsia" w:ascii="宋体" w:hAnsi="宋体" w:cs="宋体"/>
                <w:kern w:val="0"/>
                <w:sz w:val="20"/>
                <w:szCs w:val="20"/>
              </w:rPr>
              <w:sym w:font="Wingdings 2" w:char="F0A3"/>
            </w:r>
            <w:r>
              <w:rPr>
                <w:rFonts w:hint="eastAsia" w:ascii="宋体" w:hAnsi="宋体" w:cs="宋体"/>
                <w:kern w:val="0"/>
                <w:sz w:val="20"/>
                <w:szCs w:val="20"/>
              </w:rPr>
              <w:t xml:space="preserve">免征 </w:t>
            </w:r>
            <w:r>
              <w:rPr>
                <w:rFonts w:ascii="宋体" w:hAnsi="宋体" w:cs="宋体"/>
                <w:kern w:val="0"/>
                <w:sz w:val="20"/>
                <w:szCs w:val="20"/>
              </w:rPr>
              <w:t xml:space="preserve">    </w:t>
            </w:r>
            <w:r>
              <w:rPr>
                <w:rFonts w:hint="eastAsia" w:ascii="宋体" w:hAnsi="宋体" w:cs="宋体"/>
                <w:kern w:val="0"/>
                <w:sz w:val="20"/>
                <w:szCs w:val="20"/>
              </w:rPr>
              <w:sym w:font="Wingdings 2" w:char="F0A3"/>
            </w:r>
            <w:r>
              <w:rPr>
                <w:rFonts w:hint="eastAsia" w:ascii="宋体" w:hAnsi="宋体" w:cs="宋体"/>
                <w:kern w:val="0"/>
                <w:sz w:val="20"/>
                <w:szCs w:val="20"/>
              </w:rPr>
              <w:t>减征:减征幅度___</w:t>
            </w:r>
            <w:r>
              <w:rPr>
                <w:rFonts w:ascii="宋体" w:hAnsi="宋体" w:cs="宋体"/>
                <w:kern w:val="0"/>
                <w:sz w:val="20"/>
                <w:szCs w:val="20"/>
              </w:rPr>
              <w:t>_</w:t>
            </w:r>
            <w:r>
              <w:rPr>
                <w:rFonts w:hint="eastAsia" w:ascii="宋体" w:hAnsi="宋体" w:cs="宋体"/>
                <w:kern w:val="0"/>
                <w:sz w:val="20"/>
                <w:szCs w:val="20"/>
              </w:rPr>
              <w:t>%</w:t>
            </w:r>
            <w:r>
              <w:rPr>
                <w:rFonts w:ascii="宋体" w:hAnsi="宋体" w:cs="宋体"/>
                <w:kern w:val="0"/>
                <w:sz w:val="20"/>
                <w:szCs w:val="20"/>
              </w:rPr>
              <w:t xml:space="preserve">  </w:t>
            </w:r>
            <w:r>
              <w:rPr>
                <w:rFonts w:hint="eastAsia" w:ascii="宋体" w:hAnsi="宋体" w:cs="宋体"/>
                <w:kern w:val="0"/>
                <w:sz w:val="20"/>
                <w:szCs w:val="20"/>
              </w:rPr>
              <w:t>）</w:t>
            </w:r>
            <w:bookmarkEnd w:id="92"/>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640"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32</w:t>
            </w:r>
          </w:p>
        </w:tc>
        <w:tc>
          <w:tcPr>
            <w:tcW w:w="8276"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合计（1+2</w:t>
            </w:r>
            <w:r>
              <w:rPr>
                <w:rFonts w:ascii="宋体" w:hAnsi="宋体" w:cs="宋体"/>
                <w:color w:val="000000"/>
                <w:kern w:val="0"/>
                <w:sz w:val="20"/>
                <w:szCs w:val="20"/>
              </w:rPr>
              <w:t>+</w:t>
            </w:r>
            <w:r>
              <w:rPr>
                <w:rFonts w:hint="eastAsia" w:ascii="宋体" w:hAnsi="宋体" w:cs="宋体"/>
                <w:color w:val="000000"/>
                <w:kern w:val="0"/>
                <w:sz w:val="20"/>
                <w:szCs w:val="20"/>
              </w:rPr>
              <w:t>…+26+27-28+29+30+31）</w:t>
            </w:r>
          </w:p>
        </w:tc>
        <w:tc>
          <w:tcPr>
            <w:tcW w:w="1040" w:type="dxa"/>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bl>
    <w:p>
      <w:pPr>
        <w:pStyle w:val="9"/>
        <w:ind w:firstLine="40"/>
        <w:rPr>
          <w:sz w:val="2"/>
        </w:rPr>
      </w:pPr>
    </w:p>
    <w:p>
      <w:pPr>
        <w:spacing w:line="360" w:lineRule="auto"/>
        <w:ind w:firstLine="523" w:firstLineChars="218"/>
        <w:rPr>
          <w:rFonts w:ascii="宋体" w:hAnsi="宋体"/>
          <w:color w:val="000000"/>
          <w:sz w:val="24"/>
        </w:rPr>
        <w:sectPr>
          <w:pgSz w:w="11906" w:h="16838"/>
          <w:pgMar w:top="1247" w:right="1985" w:bottom="1134" w:left="1928" w:header="851" w:footer="992" w:gutter="113"/>
          <w:cols w:space="425" w:num="1"/>
          <w:titlePg/>
          <w:docGrid w:linePitch="312" w:charSpace="0"/>
        </w:sectPr>
      </w:pPr>
    </w:p>
    <w:p>
      <w:pPr>
        <w:pStyle w:val="8"/>
        <w:spacing w:before="240" w:after="360"/>
        <w:rPr>
          <w:color w:val="000000"/>
        </w:rPr>
      </w:pPr>
      <w:bookmarkStart w:id="93" w:name="_Toc399770024"/>
      <w:bookmarkStart w:id="94" w:name="_Toc499456608"/>
      <w:r>
        <w:rPr>
          <w:rFonts w:hint="eastAsia"/>
          <w:color w:val="000000"/>
        </w:rPr>
        <w:t>A107040</w:t>
      </w:r>
      <w:r>
        <w:rPr>
          <w:color w:val="000000"/>
        </w:rPr>
        <w:tab/>
      </w:r>
      <w:r>
        <w:rPr>
          <w:rFonts w:hint="eastAsia"/>
          <w:color w:val="000000"/>
        </w:rPr>
        <w:t>《减免所得税优惠明细表》填报说明</w:t>
      </w:r>
      <w:bookmarkEnd w:id="93"/>
      <w:bookmarkEnd w:id="94"/>
    </w:p>
    <w:p>
      <w:pPr>
        <w:spacing w:line="360" w:lineRule="auto"/>
        <w:ind w:firstLine="480" w:firstLineChars="200"/>
        <w:rPr>
          <w:rFonts w:ascii="宋体" w:hAnsi="宋体"/>
          <w:sz w:val="24"/>
        </w:rPr>
      </w:pPr>
      <w:r>
        <w:rPr>
          <w:rFonts w:hint="eastAsia" w:ascii="宋体" w:hAnsi="宋体"/>
          <w:sz w:val="24"/>
        </w:rPr>
        <w:t>本表由享受减免所得税优惠的纳税人填报。纳税人根据税法和相关税收政策规定，填报本年享受减免所得税优惠情况。</w:t>
      </w:r>
    </w:p>
    <w:p>
      <w:pPr>
        <w:spacing w:line="360" w:lineRule="auto"/>
        <w:ind w:firstLine="482" w:firstLineChars="200"/>
        <w:outlineLvl w:val="1"/>
        <w:rPr>
          <w:rFonts w:ascii="宋体" w:hAnsi="宋体" w:cs="宋体"/>
          <w:b/>
          <w:bCs/>
          <w:sz w:val="24"/>
        </w:rPr>
      </w:pPr>
      <w:bookmarkStart w:id="95" w:name="_Toc399770025"/>
      <w:r>
        <w:rPr>
          <w:rFonts w:hint="eastAsia" w:ascii="宋体" w:hAnsi="宋体" w:cs="宋体"/>
          <w:b/>
          <w:bCs/>
          <w:sz w:val="24"/>
        </w:rPr>
        <w:t>一、有关项目填报说明</w:t>
      </w:r>
      <w:bookmarkEnd w:id="95"/>
    </w:p>
    <w:p>
      <w:pPr>
        <w:spacing w:line="360" w:lineRule="auto"/>
        <w:ind w:firstLine="480" w:firstLineChars="200"/>
        <w:rPr>
          <w:rFonts w:ascii="宋体" w:hAnsi="宋体"/>
          <w:sz w:val="24"/>
        </w:rPr>
      </w:pPr>
      <w:r>
        <w:rPr>
          <w:rFonts w:hint="eastAsia" w:ascii="宋体" w:hAnsi="宋体" w:cs="宋体"/>
          <w:bCs/>
          <w:sz w:val="24"/>
        </w:rPr>
        <w:t>1.</w:t>
      </w:r>
      <w:r>
        <w:rPr>
          <w:rFonts w:hint="eastAsia" w:ascii="宋体" w:hAnsi="宋体"/>
          <w:sz w:val="24"/>
        </w:rPr>
        <w:t>第</w:t>
      </w:r>
      <w:r>
        <w:rPr>
          <w:rFonts w:ascii="宋体" w:hAnsi="宋体"/>
          <w:sz w:val="24"/>
        </w:rPr>
        <w:t>1</w:t>
      </w:r>
      <w:r>
        <w:rPr>
          <w:rFonts w:hint="eastAsia" w:ascii="宋体" w:hAnsi="宋体"/>
          <w:sz w:val="24"/>
        </w:rPr>
        <w:t>行“一、符合条件的小型微利企业减免所得税”：由享受小型微利企业所得税政策的纳税人填报。填报纳税人根据《财政部 国家税务总局关于扩大小型微利企业所得税优惠政策范围的通知》（财税〔2017〕43号）、《国家税务总局关于贯彻落实扩大小型微利企业所得税优惠政策范围有关征管问题的公告》（国家税务总局公告2017年第23号）等相关税收政策规定的，从事国家非限制和禁止行业的企业，并符合工业企业，年度应纳税所得额不超过5</w:t>
      </w:r>
      <w:r>
        <w:rPr>
          <w:rFonts w:ascii="宋体" w:hAnsi="宋体"/>
          <w:sz w:val="24"/>
        </w:rPr>
        <w:t>0万元，从业人数不超过100人，资产总额不超过3000万元；其他企业，年度应纳税所得额不超过</w:t>
      </w:r>
      <w:r>
        <w:rPr>
          <w:rFonts w:hint="eastAsia" w:ascii="宋体" w:hAnsi="宋体"/>
          <w:sz w:val="24"/>
        </w:rPr>
        <w:t>5</w:t>
      </w:r>
      <w:r>
        <w:rPr>
          <w:rFonts w:ascii="宋体" w:hAnsi="宋体"/>
          <w:sz w:val="24"/>
        </w:rPr>
        <w:t>0万元，从业人数不超过80人，资产总额不超过1000万元条件的，其所得减按50%计入应纳税所得额，按20%的税率缴纳企业所得税</w:t>
      </w:r>
      <w:r>
        <w:rPr>
          <w:rFonts w:hint="eastAsia" w:ascii="宋体" w:hAnsi="宋体"/>
          <w:sz w:val="24"/>
        </w:rPr>
        <w:t>。本行填报《中华人民共和国企业所得税年度纳税申报表（A类）》（A100000）第23行应纳税所得额×</w:t>
      </w:r>
      <w:r>
        <w:rPr>
          <w:rFonts w:ascii="宋体" w:hAnsi="宋体"/>
          <w:sz w:val="24"/>
        </w:rPr>
        <w:t>15%</w:t>
      </w:r>
      <w:r>
        <w:rPr>
          <w:rFonts w:hint="eastAsia" w:ascii="宋体" w:hAnsi="宋体"/>
          <w:sz w:val="24"/>
        </w:rPr>
        <w:t>的金额。</w:t>
      </w:r>
    </w:p>
    <w:p>
      <w:pPr>
        <w:spacing w:line="360" w:lineRule="auto"/>
        <w:ind w:firstLine="523" w:firstLineChars="218"/>
        <w:rPr>
          <w:rFonts w:ascii="宋体" w:hAnsi="宋体"/>
          <w:sz w:val="24"/>
        </w:rPr>
      </w:pPr>
      <w:r>
        <w:rPr>
          <w:rFonts w:hint="eastAsia" w:ascii="宋体" w:hAnsi="宋体"/>
          <w:sz w:val="24"/>
        </w:rPr>
        <w:t>2.第2行“二、国家需要重点扶持的高新技术企业减按15%的税率征收企业所得税”：国家需要重点扶持的高新技术企业享受15%税率优惠金额填报本行。同时须填报《高新技术企业优惠情况及明细表》（A107041）。</w:t>
      </w:r>
    </w:p>
    <w:p>
      <w:pPr>
        <w:spacing w:line="360" w:lineRule="auto"/>
        <w:ind w:firstLine="523" w:firstLineChars="218"/>
        <w:rPr>
          <w:rFonts w:ascii="宋体" w:hAnsi="宋体"/>
          <w:sz w:val="24"/>
        </w:rPr>
      </w:pPr>
      <w:r>
        <w:rPr>
          <w:rFonts w:hint="eastAsia" w:ascii="宋体" w:hAnsi="宋体"/>
          <w:sz w:val="24"/>
        </w:rPr>
        <w:t>3.第3行“三、经济特区和上海浦东新区新设立的高新技术企业在区内取得的所得定期减免企业所得税”：填报纳税人根据《国务院关于经济特区和上海浦东新区新设立高新技术企业实行过渡性税收优惠的通知》（国发〔2007〕40号）、《财政部 国家税务总局关于贯彻落实国务院关于实施企业所得税过渡优惠政策有关问题的通知》（财税〔2008〕21号）等规定，经济特区和上海浦东新区内，在2008年1月1日（含）之后完成登记注册的国家需要重点扶持的高新技术企业，在经济特区和上海浦东新区内取得的所得，自取得第一笔生产经营收入所属纳税年度起，第一年至第二年免征企业所得税，第三年至第五年按照25%法定税率减半征收企业所得税。对于跨经济特区和上海浦东新区的高新技术企业，其区内所得优惠填写本行，区外所得优惠填写本表第2行。经济特区和上海浦东新区新设立的高新技术企业定期减免税期满后，只享受15%税率优惠的，填写本表第2行。同时须填报《高新技术企业优惠情况及明细表》（A107041）。</w:t>
      </w:r>
    </w:p>
    <w:p>
      <w:pPr>
        <w:spacing w:line="360" w:lineRule="auto"/>
        <w:ind w:firstLine="523" w:firstLineChars="218"/>
        <w:rPr>
          <w:rFonts w:ascii="宋体" w:hAnsi="宋体"/>
          <w:sz w:val="24"/>
        </w:rPr>
      </w:pPr>
      <w:r>
        <w:rPr>
          <w:rFonts w:hint="eastAsia" w:ascii="宋体" w:hAnsi="宋体"/>
          <w:sz w:val="24"/>
        </w:rPr>
        <w:t>4.第4行“四、受灾地区农村信用社免征企业所得税”：填报受灾地区农村信用社免征企业所得税金额。本行为合计行，等于4.1行+4</w:t>
      </w:r>
      <w:r>
        <w:rPr>
          <w:rFonts w:ascii="宋体" w:hAnsi="宋体"/>
          <w:sz w:val="24"/>
        </w:rPr>
        <w:t>.2</w:t>
      </w:r>
      <w:r>
        <w:rPr>
          <w:rFonts w:hint="eastAsia" w:ascii="宋体" w:hAnsi="宋体"/>
          <w:sz w:val="24"/>
        </w:rPr>
        <w:t>行。</w:t>
      </w:r>
    </w:p>
    <w:p>
      <w:pPr>
        <w:spacing w:line="360" w:lineRule="auto"/>
        <w:ind w:firstLine="523" w:firstLineChars="218"/>
        <w:rPr>
          <w:rFonts w:ascii="宋体" w:hAnsi="宋体"/>
          <w:sz w:val="24"/>
        </w:rPr>
      </w:pPr>
      <w:r>
        <w:rPr>
          <w:rFonts w:hint="eastAsia" w:ascii="宋体" w:hAnsi="宋体"/>
          <w:sz w:val="24"/>
        </w:rPr>
        <w:t>《财政部 海关总署 国家税务总局关于支持芦山地震灾后恢复重建有关税收政策问题的通知》（财税〔2013〕58号）、《财政部 海关总署 国家税务总局关于支持鲁甸地震灾后恢复重建有关税收政策问题的通知》（财税〔2015〕27号）规定，对芦山、鲁甸受灾地区农村信用社，在规定期限内免征企业所得税。</w:t>
      </w:r>
    </w:p>
    <w:p>
      <w:pPr>
        <w:spacing w:line="360" w:lineRule="auto"/>
        <w:ind w:firstLine="523" w:firstLineChars="218"/>
        <w:rPr>
          <w:rFonts w:ascii="宋体" w:hAnsi="宋体" w:cs="宋体"/>
          <w:kern w:val="0"/>
          <w:sz w:val="24"/>
        </w:rPr>
      </w:pPr>
      <w:r>
        <w:rPr>
          <w:rFonts w:hint="eastAsia" w:ascii="宋体" w:hAnsi="宋体"/>
          <w:sz w:val="24"/>
        </w:rPr>
        <w:t>芦山农村信用社在2017年12月31日前免征所得税，在4.1行填列；鲁甸农村信用社在2018年12月31日前免征所得税，在4.2行填列。免征所得税金额根据表A100000第23行应纳税所得额和法定税率计算。</w:t>
      </w:r>
    </w:p>
    <w:p>
      <w:pPr>
        <w:spacing w:line="360" w:lineRule="auto"/>
        <w:ind w:firstLine="523" w:firstLineChars="218"/>
        <w:rPr>
          <w:rFonts w:ascii="宋体" w:hAnsi="宋体"/>
          <w:sz w:val="24"/>
        </w:rPr>
      </w:pPr>
      <w:r>
        <w:rPr>
          <w:rFonts w:hint="eastAsia" w:ascii="宋体" w:hAnsi="宋体"/>
          <w:sz w:val="24"/>
        </w:rPr>
        <w:t>5.第5行“五、动漫企业自主开发、生产动漫产品定期减免企业所得税”：根据《财政部 国家税务总局关于扶持动漫产业发展有关税收政策问题的通知》（财税〔2009〕65号）、《文化部 财政部 国家税务总局关于印发&lt;动漫企业认定管理办法（试行）&gt;的通知》（文市发〔2008〕51号）、《文化部 财政部 国家税务总局关于实施&lt;动漫企业认定管理办法（试行）&gt;有关问题的通知》（文产发〔2009〕18号）等规定，经认定的动漫企业自主开发、生产动漫产品，享受软件企业所得税优惠政策。即在2017年12月31日前自获利年度起，第一年至第二年免征所得税，第三年至第五年按照25%的法定税率减半征收所得税，并享受至期满为止。本行填报根据表A100000第23行应纳税所得额计算的免征、减征企业所得税金额。</w:t>
      </w:r>
    </w:p>
    <w:p>
      <w:pPr>
        <w:spacing w:line="360" w:lineRule="auto"/>
        <w:ind w:firstLine="523" w:firstLineChars="218"/>
        <w:rPr>
          <w:rFonts w:ascii="宋体" w:hAnsi="宋体"/>
          <w:sz w:val="24"/>
        </w:rPr>
      </w:pPr>
      <w:r>
        <w:rPr>
          <w:rFonts w:hint="eastAsia" w:ascii="宋体" w:hAnsi="宋体"/>
          <w:sz w:val="24"/>
        </w:rPr>
        <w:t>6.第6行“六、线宽小于0.8微米（含）的集成电路生产企业减免企业所得税”：根据《财政部 国家税务总局关于进一步鼓励软件产业和集成电路产业发展企业所得税政策的通知》（财税〔2012〕27号）、《财政部 国家税务总局 发展改革委 工业和信息化部关于软件和集成电路产业企业所得税优惠政策有关问题的通知》（财税〔2016〕49号）等规定，集成电路线宽小于0.8微米（含）的集成电路生产企业，在2017年12月31日前自获利年度起计算优惠期，第一年至第二年免征企业所得税，第三年至第五年按照25%的法定税率减半征收企业所得税，并享受至期满为止。当表A107042“减免方式”选择第1行时，本行填报表A107042第32行的金额，否则不允许填报。</w:t>
      </w:r>
    </w:p>
    <w:p>
      <w:pPr>
        <w:spacing w:line="360" w:lineRule="auto"/>
        <w:ind w:firstLine="523" w:firstLineChars="218"/>
        <w:rPr>
          <w:rFonts w:ascii="宋体" w:hAnsi="宋体"/>
          <w:sz w:val="24"/>
        </w:rPr>
      </w:pPr>
      <w:r>
        <w:rPr>
          <w:rFonts w:hint="eastAsia" w:ascii="宋体" w:hAnsi="宋体"/>
          <w:sz w:val="24"/>
        </w:rPr>
        <w:t>7.第7行“七、线宽小于0.25微米的集成电路生产企业减按15%税率征收企业所得税”：根据《财政部 国家税务总局关于进一步鼓励软件产业和集成电路产业发展企业所得税政策的通知》（财税〔2012〕27号）、《财政部 国家税务总局 发展改革委 工业和信息化部关于软件和集成电路产业企业所得税优惠政策有关问题的通知》（财税〔2016〕49号）等规定，线宽小于0.25微米的集成电路生产企业，享受15%税率。当表A107042“减免方式”选择第2行的“15%税率”时，本行填报表A107042第32行的金额，否则不允许填报。</w:t>
      </w:r>
    </w:p>
    <w:p>
      <w:pPr>
        <w:spacing w:line="360" w:lineRule="auto"/>
        <w:ind w:firstLine="523" w:firstLineChars="218"/>
        <w:rPr>
          <w:rFonts w:ascii="宋体" w:hAnsi="宋体"/>
          <w:sz w:val="24"/>
        </w:rPr>
      </w:pPr>
      <w:r>
        <w:rPr>
          <w:rFonts w:hint="eastAsia" w:ascii="宋体" w:hAnsi="宋体"/>
          <w:sz w:val="24"/>
        </w:rPr>
        <w:t>8.第8行“八、投资额超过80亿元的集成电路生产企业减按15%税率征收企业所得税”：根据《财政部 国家税务总局关于进一步鼓励软件产业和集成电路产业发展企业所得税政策的通知》（财税〔2012〕27号）、《财政部 国家税务总局 发展改革委 工业和信息化部关于软件和集成电路产业企业所得税优惠政策有关问题的通知》（财税〔2016〕49号）等规定，投资额超过80亿元的集成电路生产企业，享受15%税率。当表A107042“减免方式”选择第3行的“15%税率”时，本行填报表A107042第32行的金额，否则不允许填报。</w:t>
      </w:r>
    </w:p>
    <w:p>
      <w:pPr>
        <w:spacing w:line="360" w:lineRule="auto"/>
        <w:ind w:firstLine="523" w:firstLineChars="218"/>
        <w:rPr>
          <w:rFonts w:ascii="宋体" w:hAnsi="宋体"/>
          <w:sz w:val="24"/>
        </w:rPr>
      </w:pPr>
      <w:r>
        <w:rPr>
          <w:rFonts w:hint="eastAsia" w:ascii="宋体" w:hAnsi="宋体"/>
          <w:sz w:val="24"/>
        </w:rPr>
        <w:t>9．第9行“九、线宽小于0.25微米的集成电路生产企业减免企业所得税”：根据《财政部 国家税务总局关于进一步鼓励软件产业和集成电路产业发展企业所得税政策的通知》（财税〔2012〕27号）、《财政部 国家税务总局 发展改革委 工业和信息化部关于软件和集成电路产业企业所得税优惠政策有关问题的通知》（财税〔2016〕49号）等规定，线宽小于0.25微米的集成电路生产企业，经营期在15年以上的，在2017年12月31日前自获利年度起计算优惠期，第一年至第五年免征企业所得税，第六年至第十年按照25%的法定税率减半征收企业所得税，并享受至期满为止。当表A107042“减免方式”选择第2行的“五免五减半”时，本行填报表A107042第32行的金额，否则不允许填报。</w:t>
      </w:r>
    </w:p>
    <w:p>
      <w:pPr>
        <w:spacing w:line="360" w:lineRule="auto"/>
        <w:ind w:firstLine="523" w:firstLineChars="218"/>
        <w:rPr>
          <w:rFonts w:ascii="宋体" w:hAnsi="宋体"/>
          <w:sz w:val="24"/>
        </w:rPr>
      </w:pPr>
      <w:r>
        <w:rPr>
          <w:rFonts w:hint="eastAsia" w:ascii="宋体" w:hAnsi="宋体"/>
          <w:sz w:val="24"/>
        </w:rPr>
        <w:t>10.第10行：“十、投资额超过80亿元的集成电路生产企业减免企业所得税”：根据《财政部 国家税务总局关于进一步鼓励软件产业和集成电路产业发展企业所得税政策的通知》（财税〔2012〕27号）、《财政部 国家税务总局 发展改革委 工业和信息化部关于软件和集成电路产业企业所得税优惠政策有关问题的通知》（财税〔2016〕49号）等规定，投资额超过80亿元的集成电路生产企业，经营期在15年以上的，在2017年12月31日前自获利年度起计算优惠期，第一年至第五年免征企业所得税，第六年至第十年按照25%的法定税率减半征收企业所得税，并享受至期满为止。当表A107042“减免方式”选择第3行的“五免五减半”时，本行填报表A107042第32行的金额，否则不允许填报。</w:t>
      </w:r>
    </w:p>
    <w:p>
      <w:pPr>
        <w:spacing w:line="360" w:lineRule="auto"/>
        <w:ind w:firstLine="523" w:firstLineChars="218"/>
        <w:rPr>
          <w:rFonts w:ascii="宋体" w:hAnsi="宋体"/>
          <w:sz w:val="24"/>
        </w:rPr>
      </w:pPr>
      <w:r>
        <w:rPr>
          <w:rFonts w:hint="eastAsia" w:ascii="宋体" w:hAnsi="宋体"/>
          <w:sz w:val="24"/>
        </w:rPr>
        <w:t>11.第11行“十一、新办集成电路设计企业减免企业所得税”：根据《财政部 国家税务总局关于进一步鼓励软件产业和集成电路产业发展企业所得税政策的通知》（财税〔2012〕27号）、《财政部 国家税务总局 发展改革委 工业和信息化部关于软件和集成电路产业企业所得税优惠政策有关问题的通知》（财税〔2016〕49号）等规定，我国境内新办的集成电路设计企业，在2017年12月31日前自获利年度起计算优惠期，第一年至第二年免征企业所得税，第三年至第五年按照25%的法定税率减半征收企业所得税，并享受至期满为止。当表A107042“减免方式”选择第4行时，本行填报表A107042第32行的金额，否则不允许填报。</w:t>
      </w:r>
    </w:p>
    <w:p>
      <w:pPr>
        <w:spacing w:line="360" w:lineRule="auto"/>
        <w:ind w:firstLine="523" w:firstLineChars="218"/>
        <w:rPr>
          <w:rFonts w:ascii="宋体" w:hAnsi="宋体"/>
          <w:sz w:val="24"/>
        </w:rPr>
      </w:pPr>
      <w:r>
        <w:rPr>
          <w:rFonts w:hint="eastAsia" w:ascii="宋体" w:hAnsi="宋体"/>
          <w:sz w:val="24"/>
        </w:rPr>
        <w:t>12.第12行“十二、国家规划布局内集成电路设计企业可减按10%的税率征收企业所得税”：根据《财政部 国家税务总局关于进一步鼓励软件产业和集成电路产业发展企业所得税政策的通知》（财税〔2012〕27号）、《财政部 国家税务总局 发展改革委 工业和信息化部关于软件和集成电路产业企业所得税优惠政策有关问题的通知》（财税〔2016〕49号）等规定，国家规划布局内的重点集成电路设计企业，如当年未享受免税优惠的，可减按10%税率征收企业所得税。当表A107042“减免方式”选择第5行时，本行填报表A107042第32行的金额，否则不允许填报。</w:t>
      </w:r>
    </w:p>
    <w:p>
      <w:pPr>
        <w:spacing w:line="360" w:lineRule="auto"/>
        <w:ind w:firstLine="523" w:firstLineChars="218"/>
        <w:rPr>
          <w:rFonts w:ascii="宋体" w:hAnsi="宋体"/>
          <w:sz w:val="24"/>
        </w:rPr>
      </w:pPr>
      <w:r>
        <w:rPr>
          <w:rFonts w:hint="eastAsia" w:ascii="宋体" w:hAnsi="宋体"/>
          <w:sz w:val="24"/>
        </w:rPr>
        <w:t>13.第13行“十三、符合条件的软件企业减免企业所得税”：根据《财政部 国家税务总局关于进一步鼓励软件产业和集成电路产业发展企业所得税政策的通知》（财税〔2012〕27号）、《财政部 国家税务总局 发展改革委 工业和信息化部关于软件和集成电路产业企业所得税优惠政策有关问题的通知》（财税〔2016〕49号）等规定，我国境内新办的符合条件的企业，在2017年12月31日前自获利年度起计算优惠期，第一年至第二年免征企业所得税，第三年至第五年按照25%的法定税率减半征收企业所得税，并享受至期满为止。当表A107042“减免方式”选择第6行时，本行填报表A107042第32行的金额，否则不允许填报。</w:t>
      </w:r>
    </w:p>
    <w:p>
      <w:pPr>
        <w:spacing w:line="360" w:lineRule="auto"/>
        <w:ind w:firstLine="523" w:firstLineChars="218"/>
        <w:rPr>
          <w:rFonts w:ascii="宋体" w:hAnsi="宋体"/>
          <w:sz w:val="24"/>
        </w:rPr>
      </w:pPr>
      <w:r>
        <w:rPr>
          <w:rFonts w:hint="eastAsia" w:ascii="宋体" w:hAnsi="宋体"/>
          <w:sz w:val="24"/>
        </w:rPr>
        <w:t>14.第14行“十四、国家规划布局内重点软件企业可减按10%的税率征收企业所得税”：根据《财政部 国家税务总局关于进一步鼓励软件产业和集成电路产业发展企业所得税政策的通知》（财税〔2012〕27号）、《财政部 国家税务总局 发展改革委 工业和信息化部关于软件和集成电路产业企业所得税优惠政策有关问题的通知》（财税〔2016〕49号）等规定，国家规划布局内的重点软件企业，如当年未享受免税优惠的，可减按10%税率征收企业所得税。当表A107042“减免方式”选择第7行时，本行填报表A107042第32行的金额，否则不允许填报。</w:t>
      </w:r>
    </w:p>
    <w:p>
      <w:pPr>
        <w:spacing w:line="360" w:lineRule="auto"/>
        <w:ind w:firstLine="523" w:firstLineChars="218"/>
        <w:rPr>
          <w:rFonts w:ascii="宋体" w:hAnsi="宋体"/>
          <w:sz w:val="24"/>
        </w:rPr>
      </w:pPr>
      <w:r>
        <w:rPr>
          <w:rFonts w:hint="eastAsia" w:ascii="宋体" w:hAnsi="宋体"/>
          <w:sz w:val="24"/>
        </w:rPr>
        <w:t>15.第15行“十五、符合条件的集成电路封装、测试企业定期减免企业所得税”：根据《财政部 国家税务总局 发展改革委工业和信息化部关于进一步鼓励集成电路产业发展企业所得税政策的通知》（财税〔2015〕6号）规定，符合条件的集成电路封装、测试企业，在2017年（含2017年）前实现获利的，自获利年度起第一年至第二年免征企业所得税，第三年至第五年按照25%的法定税率减半征收企业所得税，并享受至期满为止；2017年前未实现获利的，自2017年起计算优惠期，享受至期满为止。本行填报根据表A100000第23行应纳税所得额计算的免征、减征企业所得税金额。当表A107042“减免方式”选择第8行时，本行填报表A107042第32行的金额，否则不允许填报。</w:t>
      </w:r>
    </w:p>
    <w:p>
      <w:pPr>
        <w:spacing w:line="360" w:lineRule="auto"/>
        <w:ind w:firstLine="523" w:firstLineChars="218"/>
        <w:rPr>
          <w:rFonts w:ascii="宋体" w:hAnsi="宋体"/>
          <w:sz w:val="24"/>
        </w:rPr>
      </w:pPr>
      <w:r>
        <w:rPr>
          <w:rFonts w:hint="eastAsia" w:ascii="宋体" w:hAnsi="宋体"/>
          <w:sz w:val="24"/>
        </w:rPr>
        <w:t>16.第16行“十六、符合条件的集成电路关键专用材料生产企业、集成电路专用设备生产企业定期减免企业所得税”：根据《财政部 国家税务总局 发展改革委工业和信息化部关于进一步鼓励集成电路产业发展企业所得税政策的通知》（财税〔2015〕6号）规定，符合条件的集成电路关键专用材料生产企业、集成电路专用设备生产企业，在2017年（含2017年）前实现获利的，自获利年度起第一年至第二年免征企业所得税，第三年至第五年按照25%的法定税率减半征收企业所得税，并享受至期满为止；2017年前未实现获利的，自2017年起计算优惠期，享受至期满为止。本行填报根据表A100000第23行应纳税所得额计算的免征、减征企业所得税金额。当表A107042“减免方式”选择第9行时，本行填报表A107042第32行的金额，否则不允许填报。</w:t>
      </w:r>
    </w:p>
    <w:p>
      <w:pPr>
        <w:spacing w:line="360" w:lineRule="auto"/>
        <w:ind w:firstLine="523" w:firstLineChars="218"/>
        <w:rPr>
          <w:rFonts w:ascii="宋体" w:hAnsi="宋体"/>
          <w:sz w:val="24"/>
        </w:rPr>
      </w:pPr>
      <w:r>
        <w:rPr>
          <w:rFonts w:hint="eastAsia" w:ascii="宋体" w:hAnsi="宋体"/>
          <w:sz w:val="24"/>
        </w:rPr>
        <w:t>17.第17行“十七、经营性文化事业单位转制为企业的免征企业所得税”：根据《财政部 国家税务总局 中宣部关于继续实施文化体制改革中经营性文化事业单位转制为企业若干税收政策的通知》（财税〔2014〕84号）等规定，从事新闻出版、广播影视和文化艺术的经营性文化事业单位转制为企业的，自转制注册之日起免征企业所得税。本行填报根据表A100000第23行应纳税所得额计算的免征企业所得税金额。</w:t>
      </w:r>
    </w:p>
    <w:p>
      <w:pPr>
        <w:spacing w:line="360" w:lineRule="auto"/>
        <w:ind w:firstLine="523" w:firstLineChars="218"/>
        <w:rPr>
          <w:rFonts w:ascii="宋体" w:hAnsi="宋体"/>
          <w:sz w:val="24"/>
        </w:rPr>
      </w:pPr>
      <w:r>
        <w:rPr>
          <w:rFonts w:hint="eastAsia" w:ascii="宋体" w:hAnsi="宋体"/>
          <w:sz w:val="24"/>
        </w:rPr>
        <w:t>18.第18行“十八、符合条件的生产和装配伤残人员专门用品企业免征企业所得税”：根据《财政部 国家税务总局 民政部关于生产和装配伤残人员专门用品企业免征企业所得税的通知》（财税〔2016〕111号）等规定，符合条件的生产和装配伤残人员专门用品的企业免征企业所得税。本行填报根据A100000表第23行应纳税所得额计算的免征企业所得税金额。</w:t>
      </w:r>
    </w:p>
    <w:p>
      <w:pPr>
        <w:spacing w:line="360" w:lineRule="auto"/>
        <w:ind w:firstLine="523" w:firstLineChars="218"/>
        <w:rPr>
          <w:rFonts w:ascii="宋体" w:hAnsi="宋体"/>
          <w:sz w:val="24"/>
        </w:rPr>
      </w:pPr>
      <w:r>
        <w:rPr>
          <w:rFonts w:hint="eastAsia" w:ascii="宋体" w:hAnsi="宋体"/>
          <w:sz w:val="24"/>
        </w:rPr>
        <w:t>19.第19行“十九、技术先进型服务企业减按15%的税率征收企业所得税”：根据《财政部 国家税务总局 商务部 科技部 国家发展改革委关于完善技术先进型服务企业有关企业所得税政策问题的通知》（财税〔2014〕59号）和《财政部 国家税务总局 商务部 科学技术部 国家发展和改革委员会关于新增中国服务外包示范城市适用技术先进型服务企业所得税政策的通知》（财税〔2016〕108号）《财政部 税务总局 商务部 科技部 国家发展改革委关于将技术先进型服务企业所得税政策推广至全国实施的通知》（财税〔2017〕79号）等规定，对经认定的技术先进型服务企业，减按15%的税率征收企业所得税。本行填报根据表A100000第23行应纳税所得额计算的减征所得税金额。</w:t>
      </w:r>
    </w:p>
    <w:p>
      <w:pPr>
        <w:pStyle w:val="9"/>
      </w:pPr>
      <w:r>
        <w:rPr>
          <w:rFonts w:hint="eastAsia"/>
        </w:rPr>
        <w:t>20.第20行“二十、服务贸易创新发展试点地区符合条件的技术先进型服务企业减按15%的税率征收企业所得税”：根据《财政部 国家税务总局 商务部 科技部 国家发展改革委关于在服务贸易创新发展试点地区推广技术先进型服务企业所得税优惠政策的通知》（财税〔2016〕122号）等规定，在服务贸易创新发展试点地区，符合条件的技术先进型服务企业减按15%的税率征收企业所得税。本行填报根据表A100000第23行应纳税所得额计算的减征所得税金额。</w:t>
      </w:r>
    </w:p>
    <w:p>
      <w:pPr>
        <w:pStyle w:val="9"/>
      </w:pPr>
      <w:r>
        <w:rPr>
          <w:rFonts w:hint="eastAsia"/>
        </w:rPr>
        <w:t>21.第21行“二十一、设在西部地区的鼓励类产业企业减按15%的税率征收企业所得税”：根据《财政部 海关总署 国家税务总局关于深入实施西部大开发战略有关税收政策问题的通知》（财税〔2011〕58号）、《国家税务总局关于深入实施西部大开发战略有关企业所得税问题的公告》（国家税务总局公告2012年第12号）、《财政部 海关总署 国家税务总局关于赣州市执行西部大开发税收政策问题的通知》（财税〔2013〕4号）、《西部地区鼓励类产业目录》(中华人民共和国国家发展和改革委员会令第15号)、《国家税务总局关于执行&lt;西部地区鼓励类产业目录&gt;有关企业所得税问题的公告》（国家税务总局公告2015年第14号）等规定，对设在西部地区的鼓励类产业企业减按15%的税率征收企业所得税；对设在赣州市的鼓励类产业的内资和外商投资企业减按15%税率征收企业所得税。本行填报根据表A100000第23行应纳税所得额计算的减征所得税金额。</w:t>
      </w:r>
    </w:p>
    <w:p>
      <w:pPr>
        <w:pStyle w:val="9"/>
      </w:pPr>
      <w:r>
        <w:rPr>
          <w:rFonts w:hint="eastAsia"/>
        </w:rPr>
        <w:t>22.第22行“二十二、新疆困难地区新办企业定期减免企业所得税”：根据《财政部 国家税务总局关于新疆困难地区新办企业所得税优惠政策的通知》（财税〔2011〕53号）、《财政部 国家税务总局 国家发展改革委 工业和信息化部关于完善新疆困难地区重点鼓励发展产业企业所得税优惠目录的通知》（财税〔2016〕85号）等规定，对在新疆困难地区新办的属于《新疆困难地区重点鼓励发展产业企业所得税优惠目录》范围内的企业，自取得第一笔生产经营收入所属纳税年度起，第一年至第二年免征企业所得税，第三年至第五年减半征收企业所得税。本行填报根据A100000表第23行应纳税所得额计算的免征、减征企业所得税金额。</w:t>
      </w:r>
    </w:p>
    <w:p>
      <w:pPr>
        <w:pStyle w:val="9"/>
      </w:pPr>
      <w:r>
        <w:rPr>
          <w:rFonts w:hint="eastAsia"/>
        </w:rPr>
        <w:t>23.第23行“二十三、新疆喀什、霍尔果斯特殊经济开发区新办企业定期免征企业所得税”：根据《财政部 国家税务总局关于新疆喀什 霍尔果斯两个特殊经济开发区企业所得税优惠政策的通知》（财税〔2011〕112号）、《财政部 国家税务总局 国家发展改革委 工业和信息化部关于完善新疆困难地区重点鼓励发展产业企业所得税优惠目录的通知》（财税〔2016〕85号）等规定，对在新疆喀什、霍尔果斯两个特殊经济开发区内新办的属于《新疆困难地区重点鼓励发展产业企业所得税优惠目录》范围内的企业，自取得第一笔生产经营收入所属纳税年度起，五年内免征企业所得税。本行填报根据A100000表第23行应纳税所得额计算的免征企业所得税金额。</w:t>
      </w:r>
    </w:p>
    <w:p>
      <w:pPr>
        <w:pStyle w:val="9"/>
      </w:pPr>
      <w:r>
        <w:rPr>
          <w:rFonts w:hint="eastAsia"/>
        </w:rPr>
        <w:t>24.第24行“二十四、广东横琴、福建平潭、深圳前海等地区的鼓励类产业企业减按15%税率征收企业所得税”：根据《财政部 国家税务总局关于广东横琴新区、福建平潭综合实验区、深圳前海深港现代化服务业合作区企业所得税优惠政策及优惠目录的通知》（财税〔2014〕26号）等规定，对设在广东横琴新区、福建平潭综合实验区和深圳前海深港现代服务业合作区的鼓励类产业企业减按15%的税率征收企业所得税。本行填报根据表A100000第23行应纳税所得额计算的减征所得税金额。</w:t>
      </w:r>
    </w:p>
    <w:p>
      <w:pPr>
        <w:pStyle w:val="9"/>
      </w:pPr>
      <w:r>
        <w:rPr>
          <w:rFonts w:hint="eastAsia"/>
        </w:rPr>
        <w:t>25.第25行“二十五、北京冬奥组委、</w:t>
      </w:r>
      <w:r>
        <w:t>北京冬奥会测试赛赛事组委会</w:t>
      </w:r>
      <w:r>
        <w:rPr>
          <w:rFonts w:hint="eastAsia"/>
        </w:rPr>
        <w:t>免征企业所得税”：根据《财政部 税务总局 海关总署关于北京2022年冬奥会和冬残奥会税收政策的通知》（财税〔2017〕60号）等规定，</w:t>
      </w:r>
      <w:r>
        <w:t>为支持发展奥林匹克运动，确保北京2022年冬奥会和冬残奥会顺利举办，</w:t>
      </w:r>
      <w:r>
        <w:rPr>
          <w:rFonts w:hint="eastAsia"/>
        </w:rPr>
        <w:t>对北京冬奥组委免征应缴纳的企业所得税,</w:t>
      </w:r>
      <w:r>
        <w:rPr>
          <w:rFonts w:ascii="Arial" w:hAnsi="Arial" w:cs="Arial"/>
          <w:color w:val="333333"/>
          <w:shd w:val="clear" w:color="auto" w:fill="FFFFFF"/>
        </w:rPr>
        <w:t xml:space="preserve"> </w:t>
      </w:r>
      <w:r>
        <w:t>北京冬奥会测试赛赛事组委会取得的收入及发生的涉税支出比照执行北京冬奥组委的税收政策</w:t>
      </w:r>
      <w:r>
        <w:rPr>
          <w:rFonts w:hint="eastAsia"/>
        </w:rPr>
        <w:t>。本行填报北京冬奥组委、</w:t>
      </w:r>
      <w:r>
        <w:t>北京冬奥会测试赛赛事组委会</w:t>
      </w:r>
      <w:r>
        <w:rPr>
          <w:rFonts w:hint="eastAsia"/>
        </w:rPr>
        <w:t>根据表A100000第23行应纳税所得额计算的免征企业所得税金额。</w:t>
      </w:r>
    </w:p>
    <w:p>
      <w:pPr>
        <w:pStyle w:val="9"/>
      </w:pPr>
      <w:r>
        <w:rPr>
          <w:rFonts w:hint="eastAsia"/>
        </w:rPr>
        <w:t>26.第26行“二十六、享受过渡期税收优惠定期减免企业所得税”：根据《国务院关于实施企业所得税过渡优惠政策的通知》(国发〔2007〕39号)等规定，自2008年1月1日起，原享受企业所得税“五免五减半”等定期减免税优惠的企业，新税法施行后继续按原税收法律、行政法规及相关文件规定的优惠办法及年限享受至期满为止，但因未获利而尚未享受税收优惠的，其优惠期限从2008年度起计算。本行填报根据表A100000第23行应纳税所得额计算的免征、减征企业所得税金额。</w:t>
      </w:r>
    </w:p>
    <w:p>
      <w:pPr>
        <w:pStyle w:val="9"/>
      </w:pPr>
      <w:r>
        <w:rPr>
          <w:rFonts w:hint="eastAsia"/>
        </w:rPr>
        <w:t>27.第27行“二十七、其他”：</w:t>
      </w:r>
      <w:r>
        <w:rPr>
          <w:rFonts w:hint="eastAsia"/>
          <w:color w:val="000000"/>
        </w:rPr>
        <w:t>填报国务院根据税法授权制定的及本表未列明的其他税收优惠政策，需填报项目名称、减免税代码及免征、减征企业所得税金额。</w:t>
      </w:r>
    </w:p>
    <w:p>
      <w:pPr>
        <w:pStyle w:val="9"/>
      </w:pPr>
      <w:r>
        <w:rPr>
          <w:rFonts w:hint="eastAsia"/>
        </w:rPr>
        <w:t>28.第28行“二十八、减：项目所得额按法定税率减半征收企业所得税叠加享受减免税优惠”：纳税人同时享受优惠税率和所得项目减半情形下，在填报本表低税率优惠时，所得项目按照优惠税率减半计算多享受优惠的部分。</w:t>
      </w:r>
    </w:p>
    <w:p>
      <w:pPr>
        <w:pStyle w:val="9"/>
      </w:pPr>
      <w:r>
        <w:rPr>
          <w:rFonts w:hint="eastAsia"/>
        </w:rPr>
        <w:t>企业从事农林牧渔业项目、国家重点扶持的公共基础设施项目、符合条件的环境保护、节能节水项目、符合条件的技术转让、其他专项优惠等所得额应按法定税率25%减半征收，同时享受小型微利企业、高新技术企业、技术先进型服务企业、集成电路线宽小于0.25微米或投资额超过80亿元人民币集成电路生产企业、国家规划布局内重点软件企业和集成电路设计企业等优惠税率政策，由于申报表填报顺序，按优惠税率减半叠加享受减免税优惠部分，应在本行对该部分金额进行调整。本行应大于等于0且小于等于第1+2+…+20+22+</w:t>
      </w:r>
      <w:r>
        <w:t>…</w:t>
      </w:r>
      <w:r>
        <w:rPr>
          <w:rFonts w:hint="eastAsia"/>
        </w:rPr>
        <w:t>+27行的值。</w:t>
      </w:r>
    </w:p>
    <w:p>
      <w:pPr>
        <w:pStyle w:val="9"/>
      </w:pPr>
      <w:r>
        <w:rPr>
          <w:rFonts w:hint="eastAsia"/>
        </w:rPr>
        <w:t>计算公式：本行＝减半项目所得额×50%×（25%-优惠税率）。</w:t>
      </w:r>
    </w:p>
    <w:p>
      <w:pPr>
        <w:pStyle w:val="9"/>
      </w:pPr>
      <w:r>
        <w:rPr>
          <w:rFonts w:hint="eastAsia"/>
        </w:rPr>
        <w:t>29.第</w:t>
      </w:r>
      <w:r>
        <w:t>29</w:t>
      </w:r>
      <w:r>
        <w:rPr>
          <w:rFonts w:hint="eastAsia"/>
        </w:rPr>
        <w:t>行“二十九、支持和促进重点群体创业就业企业限额减征企业所得税”：根据《财政部 税务总局 人力资源社会保障部关于继续实施支持和促进重点群体创业就业有关税收政策的通知》（财税〔2017〕49号）等规定，商贸企业、服务型企业、劳动就业服务企业中的加工型企业和街道社区具有加工性质的小型企业实体，在新增加的岗位中，当年新招用在人力资源社会保障部门公共就业服务机构登记失业半年以上且持《就业创业证》或《就业失业登记证》（注明“企业吸纳税收政策”）人员，与其签订1年以上期限劳动合同并依法缴纳社会保险费的，在3年内按实际招用人数予以定额依次扣减增值税、城市维护建设税、教育费附加、地方教育附加和企业所得税优惠。定额标准为每人每年4000元，最高可上浮30%。本行填报企业纳税年度终了时实际减免的增值税、城市维护建设税、教育费附加和地方教育附加小于核定的减免税总额，在企业所得税汇算清缴时扣减的企业所得税，当年扣减不完的，不再结转以后年度扣减。本行为合计行，等于</w:t>
      </w:r>
      <w:r>
        <w:t>29</w:t>
      </w:r>
      <w:r>
        <w:rPr>
          <w:rFonts w:hint="eastAsia"/>
        </w:rPr>
        <w:t>.1行+</w:t>
      </w:r>
      <w:r>
        <w:t>29.2</w:t>
      </w:r>
      <w:r>
        <w:rPr>
          <w:rFonts w:hint="eastAsia"/>
        </w:rPr>
        <w:t>行。</w:t>
      </w:r>
    </w:p>
    <w:p>
      <w:pPr>
        <w:pStyle w:val="9"/>
      </w:pPr>
      <w:r>
        <w:rPr>
          <w:rFonts w:hint="eastAsia"/>
        </w:rPr>
        <w:t>安置下岗失业人员再就业、高校毕业生就业扣减的企业所得税，分别填写本表</w:t>
      </w:r>
      <w:r>
        <w:t>29</w:t>
      </w:r>
      <w:r>
        <w:rPr>
          <w:rFonts w:hint="eastAsia"/>
        </w:rPr>
        <w:t>.1行、</w:t>
      </w:r>
      <w:r>
        <w:t>29.2</w:t>
      </w:r>
      <w:r>
        <w:rPr>
          <w:rFonts w:hint="eastAsia"/>
        </w:rPr>
        <w:t>行。</w:t>
      </w:r>
    </w:p>
    <w:p>
      <w:pPr>
        <w:pStyle w:val="9"/>
      </w:pPr>
      <w:r>
        <w:rPr>
          <w:rFonts w:hint="eastAsia"/>
        </w:rPr>
        <w:t>3</w:t>
      </w:r>
      <w:r>
        <w:t>0</w:t>
      </w:r>
      <w:r>
        <w:rPr>
          <w:rFonts w:hint="eastAsia"/>
        </w:rPr>
        <w:t>.第3</w:t>
      </w:r>
      <w:r>
        <w:t>0</w:t>
      </w:r>
      <w:r>
        <w:rPr>
          <w:rFonts w:hint="eastAsia"/>
        </w:rPr>
        <w:t>行“三十、扶持自主就业退役士兵创业就业企业限额减征企业所得税”：根据《财政部 税务总局 民政部关于继续实施扶持自主就业退役士兵创业就业有关税收政策的通知》（财税〔2017〕46号）等规定，对商贸企业、服务型企业、劳动就业服务企业中的加工型企业和街道社区具有加工性质的小型企业实体，在新增加的岗位中，当年新招用自主就业退役士兵，与其签订1年以上期限劳动合同并依法缴纳社会保险费的，在3年内按实际招用人数予以定额依次扣减增值税、城市维护建设税、教育费附加、地方教育附加和企业所得税优惠。定额标准为每人每年4000元，最高可上浮50%。本行填报企业纳税年度终了时实际减免的增值税、城市维护建设税、教育费附加和地方教育附加小于核定的减免税总额，在企业所得税汇算清缴时扣减的企业所得税，当年扣减不完的，不再结转以后年度扣减。</w:t>
      </w:r>
    </w:p>
    <w:p>
      <w:pPr>
        <w:pStyle w:val="9"/>
      </w:pPr>
      <w:r>
        <w:t>31.</w:t>
      </w:r>
      <w:r>
        <w:rPr>
          <w:rFonts w:hint="eastAsia"/>
        </w:rPr>
        <w:t>第</w:t>
      </w:r>
      <w:r>
        <w:t>31</w:t>
      </w:r>
      <w:r>
        <w:rPr>
          <w:rFonts w:hint="eastAsia"/>
        </w:rPr>
        <w:t>行“三十一、民族自治地方的自治机关对本民族自治地方的企业应缴纳的企业所得税中属于地方分享的部分减征或免征（</w:t>
      </w:r>
      <w:r>
        <w:rPr>
          <w:rFonts w:hint="eastAsia" w:cs="宋体"/>
          <w:kern w:val="0"/>
          <w:sz w:val="20"/>
          <w:szCs w:val="20"/>
        </w:rPr>
        <w:sym w:font="Wingdings 2" w:char="F0A3"/>
      </w:r>
      <w:r>
        <w:rPr>
          <w:rFonts w:hint="eastAsia"/>
        </w:rPr>
        <w:t xml:space="preserve">免征 </w:t>
      </w:r>
      <w:r>
        <w:rPr>
          <w:rFonts w:hint="eastAsia" w:cs="宋体"/>
          <w:kern w:val="0"/>
          <w:sz w:val="20"/>
          <w:szCs w:val="20"/>
        </w:rPr>
        <w:sym w:font="Wingdings 2" w:char="F0A3"/>
      </w:r>
      <w:r>
        <w:rPr>
          <w:rFonts w:hint="eastAsia"/>
        </w:rPr>
        <w:t>减征</w:t>
      </w:r>
      <w:r>
        <w:t>:</w:t>
      </w:r>
      <w:r>
        <w:rPr>
          <w:rFonts w:hint="eastAsia"/>
        </w:rPr>
        <w:t>减征幅度</w:t>
      </w:r>
      <w:r>
        <w:t>____%</w:t>
      </w:r>
      <w:r>
        <w:rPr>
          <w:rFonts w:hint="eastAsia"/>
        </w:rPr>
        <w:t>）”：根据税法、《财政部</w:t>
      </w:r>
      <w:r>
        <w:t xml:space="preserve"> </w:t>
      </w:r>
      <w:r>
        <w:rPr>
          <w:rFonts w:hint="eastAsia"/>
        </w:rPr>
        <w:t>国家税务总局关于贯彻落实国务院关于实施企业所得税过渡优惠政策有关问题的通知》（财税〔</w:t>
      </w:r>
      <w:r>
        <w:t>2008</w:t>
      </w:r>
      <w:r>
        <w:rPr>
          <w:rFonts w:hint="eastAsia"/>
        </w:rPr>
        <w:t>〕</w:t>
      </w:r>
      <w:r>
        <w:t>21</w:t>
      </w:r>
      <w:r>
        <w:rPr>
          <w:rFonts w:hint="eastAsia"/>
        </w:rPr>
        <w:t>号）、《中华人民共和国民族区域自治法》的规定，实行民族区域自治的自治区、自治州、自治县的自治机关对本民族自治地方的企业应缴纳的企业所得税中属于地方分享的部分，可以决定减征或者免征，自治州、自治县决定减征或者免征的，须报省、自治区、直辖市人民政府批准。</w:t>
      </w:r>
    </w:p>
    <w:p>
      <w:pPr>
        <w:pStyle w:val="9"/>
      </w:pPr>
      <w:r>
        <w:rPr>
          <w:rFonts w:hint="eastAsia"/>
        </w:rPr>
        <w:t>纳税人填报该行次时，根据享受政策的类型选择“免征”或“减征”，二者必选其一。选择“免征”是指企业所得税款地方分成40%部分全免；选择“减征:减征幅度____%”需填写“减征幅度”，减征幅度填写1至100，表示企业所得税地方分成部分减征的百分比。优惠金额填报（应纳所得税额-本表以上行次优惠合计）×40%×减征幅度的金额,本表以上行次不包括第4.1行、4.2行、29.1行、29.2行。如地方分享部分减半征收，则选择“减征”，并在“减征幅度”后填写“50%”。</w:t>
      </w:r>
    </w:p>
    <w:p>
      <w:pPr>
        <w:pStyle w:val="9"/>
      </w:pPr>
      <w:r>
        <w:rPr>
          <w:rFonts w:hint="eastAsia"/>
        </w:rPr>
        <w:t>3</w:t>
      </w:r>
      <w:r>
        <w:t>2</w:t>
      </w:r>
      <w:r>
        <w:rPr>
          <w:rFonts w:hint="eastAsia"/>
        </w:rPr>
        <w:t>.第32行“合计”：填报第</w:t>
      </w:r>
      <w:r>
        <w:t>1+2+3+4+5+…+26+27-28+29+30+31</w:t>
      </w:r>
      <w:r>
        <w:rPr>
          <w:rFonts w:hint="eastAsia"/>
        </w:rPr>
        <w:t>行的金额。</w:t>
      </w:r>
    </w:p>
    <w:p>
      <w:pPr>
        <w:pStyle w:val="11"/>
        <w:ind w:firstLine="482"/>
      </w:pPr>
      <w:bookmarkStart w:id="96" w:name="_Toc399770026"/>
      <w:r>
        <w:rPr>
          <w:rFonts w:hint="eastAsia"/>
        </w:rPr>
        <w:t>二、表内、表间关系</w:t>
      </w:r>
      <w:bookmarkEnd w:id="96"/>
    </w:p>
    <w:p>
      <w:pPr>
        <w:pStyle w:val="12"/>
      </w:pPr>
      <w:r>
        <w:rPr>
          <w:rFonts w:hint="eastAsia"/>
        </w:rPr>
        <w:t>（一）表内关系</w:t>
      </w:r>
    </w:p>
    <w:p>
      <w:pPr>
        <w:pStyle w:val="9"/>
        <w:rPr>
          <w:rFonts w:cs="宋体"/>
        </w:rPr>
      </w:pPr>
      <w:r>
        <w:rPr>
          <w:rFonts w:hint="eastAsia" w:cs="宋体"/>
        </w:rPr>
        <w:t>1.</w:t>
      </w:r>
      <w:r>
        <w:rPr>
          <w:rFonts w:hint="eastAsia"/>
        </w:rPr>
        <w:t>第4行＝第4.1+4.2行。</w:t>
      </w:r>
    </w:p>
    <w:p>
      <w:pPr>
        <w:pStyle w:val="9"/>
        <w:rPr>
          <w:rFonts w:cs="宋体"/>
        </w:rPr>
      </w:pPr>
      <w:r>
        <w:rPr>
          <w:rFonts w:hint="eastAsia" w:cs="宋体"/>
        </w:rPr>
        <w:t>2.</w:t>
      </w:r>
      <w:r>
        <w:rPr>
          <w:rFonts w:hint="eastAsia"/>
        </w:rPr>
        <w:t>第</w:t>
      </w:r>
      <w:r>
        <w:t>29</w:t>
      </w:r>
      <w:r>
        <w:rPr>
          <w:rFonts w:hint="eastAsia"/>
        </w:rPr>
        <w:t>行＝第</w:t>
      </w:r>
      <w:r>
        <w:t>29</w:t>
      </w:r>
      <w:r>
        <w:rPr>
          <w:rFonts w:hint="eastAsia"/>
        </w:rPr>
        <w:t>.1+</w:t>
      </w:r>
      <w:r>
        <w:t>29</w:t>
      </w:r>
      <w:r>
        <w:rPr>
          <w:rFonts w:hint="eastAsia"/>
        </w:rPr>
        <w:t>.2行。</w:t>
      </w:r>
    </w:p>
    <w:p>
      <w:pPr>
        <w:pStyle w:val="9"/>
        <w:rPr>
          <w:rFonts w:cs="宋体"/>
        </w:rPr>
      </w:pPr>
      <w:r>
        <w:rPr>
          <w:rFonts w:hint="eastAsia" w:cs="宋体"/>
        </w:rPr>
        <w:t>3</w:t>
      </w:r>
      <w:r>
        <w:rPr>
          <w:rFonts w:hint="eastAsia"/>
        </w:rPr>
        <w:t>.第32行＝第</w:t>
      </w:r>
      <w:r>
        <w:t>1+2+3+4+5+…+26+27-28+29+30+31</w:t>
      </w:r>
      <w:r>
        <w:rPr>
          <w:rFonts w:hint="eastAsia"/>
        </w:rPr>
        <w:t>行。</w:t>
      </w:r>
    </w:p>
    <w:p>
      <w:pPr>
        <w:pStyle w:val="12"/>
      </w:pPr>
      <w:r>
        <w:rPr>
          <w:rFonts w:hint="eastAsia"/>
        </w:rPr>
        <w:t>（二）表间关系</w:t>
      </w:r>
    </w:p>
    <w:p>
      <w:pPr>
        <w:pStyle w:val="9"/>
      </w:pPr>
      <w:r>
        <w:rPr>
          <w:rFonts w:hint="eastAsia" w:cs="宋体"/>
        </w:rPr>
        <w:t>1.</w:t>
      </w:r>
      <w:r>
        <w:rPr>
          <w:rFonts w:hint="eastAsia"/>
        </w:rPr>
        <w:t>第2行＝表A107041第3</w:t>
      </w:r>
      <w:r>
        <w:t>1</w:t>
      </w:r>
      <w:r>
        <w:rPr>
          <w:rFonts w:hint="eastAsia"/>
        </w:rPr>
        <w:t>行。</w:t>
      </w:r>
    </w:p>
    <w:p>
      <w:pPr>
        <w:pStyle w:val="9"/>
      </w:pPr>
      <w:r>
        <w:rPr>
          <w:rFonts w:hint="eastAsia"/>
        </w:rPr>
        <w:t>2.第3行＝表A107041第3</w:t>
      </w:r>
      <w:r>
        <w:t>2</w:t>
      </w:r>
      <w:r>
        <w:rPr>
          <w:rFonts w:hint="eastAsia"/>
        </w:rPr>
        <w:t>行。</w:t>
      </w:r>
    </w:p>
    <w:p>
      <w:pPr>
        <w:pStyle w:val="9"/>
        <w:rPr>
          <w:color w:val="000000"/>
        </w:rPr>
      </w:pPr>
      <w:r>
        <w:rPr>
          <w:rFonts w:hint="eastAsia"/>
          <w:color w:val="000000"/>
        </w:rPr>
        <w:t>3.第6行至第16行＝A107042第32行，根据以下规则判断填报：</w:t>
      </w:r>
    </w:p>
    <w:p>
      <w:pPr>
        <w:pStyle w:val="9"/>
        <w:rPr>
          <w:color w:val="000000"/>
        </w:rPr>
      </w:pPr>
      <w:r>
        <w:rPr>
          <w:rFonts w:hint="eastAsia"/>
          <w:color w:val="000000"/>
        </w:rPr>
        <w:t>若A107042“减免方式”单选第1行，第6行＝A107042第32行；</w:t>
      </w:r>
    </w:p>
    <w:p>
      <w:pPr>
        <w:pStyle w:val="9"/>
        <w:rPr>
          <w:color w:val="000000"/>
        </w:rPr>
      </w:pPr>
      <w:r>
        <w:rPr>
          <w:rFonts w:hint="eastAsia"/>
          <w:color w:val="000000"/>
        </w:rPr>
        <w:t>若A107042“减免方式”单选第2行“15%税率”，第7行＝A107042第32行；</w:t>
      </w:r>
    </w:p>
    <w:p>
      <w:pPr>
        <w:pStyle w:val="9"/>
        <w:rPr>
          <w:color w:val="000000"/>
        </w:rPr>
      </w:pPr>
      <w:r>
        <w:rPr>
          <w:rFonts w:hint="eastAsia"/>
          <w:color w:val="000000"/>
        </w:rPr>
        <w:t>若A107042“减免方式”单选第3行“15%税率”，第8行＝A107042第32行；</w:t>
      </w:r>
    </w:p>
    <w:p>
      <w:pPr>
        <w:pStyle w:val="9"/>
        <w:rPr>
          <w:color w:val="000000"/>
        </w:rPr>
      </w:pPr>
      <w:r>
        <w:rPr>
          <w:rFonts w:hint="eastAsia"/>
          <w:color w:val="000000"/>
        </w:rPr>
        <w:t>若A107042“减免方式”单选第2行“五免五减半”，第9行＝A107042第32行；</w:t>
      </w:r>
    </w:p>
    <w:p>
      <w:pPr>
        <w:pStyle w:val="9"/>
        <w:rPr>
          <w:color w:val="000000"/>
        </w:rPr>
      </w:pPr>
      <w:r>
        <w:rPr>
          <w:rFonts w:hint="eastAsia"/>
          <w:color w:val="000000"/>
        </w:rPr>
        <w:t>若A107042“减免方式”单选第3行“五免五减半”，第10行＝A107042第32行；</w:t>
      </w:r>
    </w:p>
    <w:p>
      <w:pPr>
        <w:pStyle w:val="9"/>
        <w:rPr>
          <w:color w:val="000000"/>
        </w:rPr>
      </w:pPr>
      <w:r>
        <w:rPr>
          <w:rFonts w:hint="eastAsia"/>
          <w:color w:val="000000"/>
        </w:rPr>
        <w:t>若A107042“减免方式”单选第4行，第11行＝A107042第32行；</w:t>
      </w:r>
    </w:p>
    <w:p>
      <w:pPr>
        <w:pStyle w:val="9"/>
        <w:rPr>
          <w:color w:val="000000"/>
        </w:rPr>
      </w:pPr>
      <w:r>
        <w:rPr>
          <w:rFonts w:hint="eastAsia"/>
          <w:color w:val="000000"/>
        </w:rPr>
        <w:t>若A107042“减免方式”单选第5行，第12行＝A107042第32行；</w:t>
      </w:r>
    </w:p>
    <w:p>
      <w:pPr>
        <w:pStyle w:val="9"/>
        <w:rPr>
          <w:color w:val="000000"/>
        </w:rPr>
      </w:pPr>
      <w:r>
        <w:rPr>
          <w:rFonts w:hint="eastAsia"/>
          <w:color w:val="000000"/>
        </w:rPr>
        <w:t>若A107042“减免方式”单选第6行，第13行＝A107042第32行；</w:t>
      </w:r>
    </w:p>
    <w:p>
      <w:pPr>
        <w:pStyle w:val="9"/>
        <w:rPr>
          <w:color w:val="000000"/>
        </w:rPr>
      </w:pPr>
      <w:r>
        <w:rPr>
          <w:rFonts w:hint="eastAsia"/>
          <w:color w:val="000000"/>
        </w:rPr>
        <w:t>若A107042“减免方式”单选第7行，第14行＝A107042第32行；</w:t>
      </w:r>
    </w:p>
    <w:p>
      <w:pPr>
        <w:pStyle w:val="9"/>
        <w:rPr>
          <w:color w:val="000000"/>
        </w:rPr>
      </w:pPr>
      <w:r>
        <w:rPr>
          <w:rFonts w:hint="eastAsia"/>
          <w:color w:val="000000"/>
        </w:rPr>
        <w:t>若A107042“减免方式”单选第8行，第15行＝A107042第32行；</w:t>
      </w:r>
    </w:p>
    <w:p>
      <w:pPr>
        <w:pStyle w:val="9"/>
        <w:rPr>
          <w:rFonts w:hint="eastAsia"/>
          <w:color w:val="000000"/>
        </w:rPr>
      </w:pPr>
      <w:r>
        <w:rPr>
          <w:rFonts w:hint="eastAsia"/>
          <w:color w:val="000000"/>
        </w:rPr>
        <w:t>若A107042“减免方式”单选第9行，第16行＝A107042第32行。</w:t>
      </w:r>
    </w:p>
    <w:p>
      <w:pPr>
        <w:pStyle w:val="9"/>
        <w:rPr>
          <w:rFonts w:hint="eastAsia"/>
          <w:color w:val="000000"/>
        </w:rPr>
      </w:pPr>
      <w:r>
        <w:rPr>
          <w:rFonts w:hint="eastAsia"/>
          <w:color w:val="000000"/>
        </w:rPr>
        <w:t>4.第31行＝（表A100000第25行</w:t>
      </w:r>
      <w:r>
        <w:t>-</w:t>
      </w:r>
      <w:r>
        <w:rPr>
          <w:rFonts w:hint="eastAsia"/>
        </w:rPr>
        <w:t>本表第1+2+3+4+5…+29+30行）×40%×减征幅度。</w:t>
      </w:r>
    </w:p>
    <w:p>
      <w:pPr>
        <w:pStyle w:val="9"/>
        <w:rPr>
          <w:rFonts w:cs="宋体"/>
        </w:rPr>
      </w:pPr>
      <w:r>
        <w:rPr>
          <w:rFonts w:hint="eastAsia" w:cs="宋体"/>
        </w:rPr>
        <w:t>5.</w:t>
      </w:r>
      <w:r>
        <w:rPr>
          <w:rFonts w:hint="eastAsia"/>
        </w:rPr>
        <w:t>第32行＝表A100000第26行。</w:t>
      </w:r>
    </w:p>
    <w:p>
      <w:pPr>
        <w:pStyle w:val="9"/>
        <w:rPr>
          <w:color w:val="000000"/>
        </w:rPr>
        <w:sectPr>
          <w:pgSz w:w="11906" w:h="16838"/>
          <w:pgMar w:top="1985" w:right="1361" w:bottom="1928" w:left="1418" w:header="851" w:footer="992" w:gutter="113"/>
          <w:cols w:space="425" w:num="1"/>
          <w:docGrid w:linePitch="312" w:charSpace="0"/>
        </w:sectPr>
      </w:pPr>
    </w:p>
    <w:p>
      <w:pPr>
        <w:pStyle w:val="10"/>
      </w:pPr>
      <w:bookmarkStart w:id="97" w:name="_Toc499456609"/>
      <w:r>
        <w:rPr>
          <w:rFonts w:hint="eastAsia"/>
        </w:rPr>
        <w:t>A107041</w:t>
      </w:r>
      <w:r>
        <w:tab/>
      </w:r>
      <w:r>
        <w:rPr>
          <w:rFonts w:hint="eastAsia"/>
        </w:rPr>
        <w:t>高新技术企业优惠情况及明细表</w:t>
      </w:r>
      <w:bookmarkEnd w:id="97"/>
    </w:p>
    <w:tbl>
      <w:tblPr>
        <w:tblStyle w:val="7"/>
        <w:tblW w:w="965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6"/>
        <w:gridCol w:w="628"/>
        <w:gridCol w:w="1761"/>
        <w:gridCol w:w="1659"/>
        <w:gridCol w:w="851"/>
        <w:gridCol w:w="1081"/>
        <w:gridCol w:w="717"/>
        <w:gridCol w:w="366"/>
        <w:gridCol w:w="551"/>
        <w:gridCol w:w="530"/>
        <w:gridCol w:w="10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9651" w:type="dxa"/>
            <w:gridSpan w:val="11"/>
            <w:shd w:val="clear" w:color="auto" w:fill="auto"/>
            <w:vAlign w:val="center"/>
          </w:tcPr>
          <w:p>
            <w:pPr>
              <w:widowControl/>
              <w:jc w:val="center"/>
              <w:rPr>
                <w:rFonts w:ascii="宋体" w:hAnsi="宋体" w:cs="宋体"/>
                <w:b/>
                <w:kern w:val="0"/>
                <w:sz w:val="20"/>
                <w:szCs w:val="20"/>
              </w:rPr>
            </w:pPr>
            <w:r>
              <w:rPr>
                <w:rFonts w:hint="eastAsia" w:ascii="宋体" w:hAnsi="宋体" w:cs="宋体"/>
                <w:b/>
                <w:kern w:val="0"/>
                <w:sz w:val="20"/>
                <w:szCs w:val="20"/>
              </w:rPr>
              <w:t>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389"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高新技术企业证书编号</w:t>
            </w:r>
          </w:p>
        </w:tc>
        <w:tc>
          <w:tcPr>
            <w:tcW w:w="165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566" w:type="dxa"/>
            <w:gridSpan w:val="5"/>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高新技术企业证书取得时间</w:t>
            </w:r>
          </w:p>
        </w:tc>
        <w:tc>
          <w:tcPr>
            <w:tcW w:w="1621"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389" w:type="dxa"/>
            <w:gridSpan w:val="2"/>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对企业主要产品（服务）发挥核心支持作用的技术所属范围</w:t>
            </w:r>
          </w:p>
        </w:tc>
        <w:tc>
          <w:tcPr>
            <w:tcW w:w="6846" w:type="dxa"/>
            <w:gridSpan w:val="8"/>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国家重点支持的高新技术领域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vMerge w:val="continue"/>
            <w:shd w:val="clear" w:color="auto" w:fill="auto"/>
            <w:vAlign w:val="center"/>
          </w:tcPr>
          <w:p>
            <w:pPr>
              <w:widowControl/>
              <w:jc w:val="left"/>
              <w:rPr>
                <w:rFonts w:ascii="宋体" w:hAnsi="宋体" w:cs="宋体"/>
                <w:kern w:val="0"/>
                <w:sz w:val="20"/>
                <w:szCs w:val="20"/>
              </w:rPr>
            </w:pPr>
          </w:p>
        </w:tc>
        <w:tc>
          <w:tcPr>
            <w:tcW w:w="2389" w:type="dxa"/>
            <w:gridSpan w:val="2"/>
            <w:vMerge w:val="continue"/>
            <w:shd w:val="clear" w:color="auto" w:fill="auto"/>
            <w:vAlign w:val="center"/>
          </w:tcPr>
          <w:p>
            <w:pPr>
              <w:widowControl/>
              <w:jc w:val="left"/>
              <w:rPr>
                <w:rFonts w:ascii="宋体" w:hAnsi="宋体" w:cs="宋体"/>
                <w:kern w:val="0"/>
                <w:sz w:val="20"/>
                <w:szCs w:val="20"/>
              </w:rPr>
            </w:pPr>
          </w:p>
        </w:tc>
        <w:tc>
          <w:tcPr>
            <w:tcW w:w="165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一级领域</w:t>
            </w:r>
          </w:p>
        </w:tc>
        <w:tc>
          <w:tcPr>
            <w:tcW w:w="2649"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二级领域</w:t>
            </w:r>
          </w:p>
        </w:tc>
        <w:tc>
          <w:tcPr>
            <w:tcW w:w="2538" w:type="dxa"/>
            <w:gridSpan w:val="4"/>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三级领域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vMerge w:val="continue"/>
            <w:tcBorders>
              <w:bottom w:val="single" w:color="auto" w:sz="12" w:space="0"/>
            </w:tcBorders>
            <w:shd w:val="clear" w:color="auto" w:fill="auto"/>
            <w:vAlign w:val="center"/>
          </w:tcPr>
          <w:p>
            <w:pPr>
              <w:widowControl/>
              <w:jc w:val="left"/>
              <w:rPr>
                <w:rFonts w:ascii="宋体" w:hAnsi="宋体" w:cs="宋体"/>
                <w:kern w:val="0"/>
                <w:sz w:val="20"/>
                <w:szCs w:val="20"/>
              </w:rPr>
            </w:pPr>
          </w:p>
        </w:tc>
        <w:tc>
          <w:tcPr>
            <w:tcW w:w="2389" w:type="dxa"/>
            <w:gridSpan w:val="2"/>
            <w:vMerge w:val="continue"/>
            <w:tcBorders>
              <w:bottom w:val="single" w:color="auto" w:sz="12" w:space="0"/>
            </w:tcBorders>
            <w:shd w:val="clear" w:color="auto" w:fill="auto"/>
            <w:vAlign w:val="center"/>
          </w:tcPr>
          <w:p>
            <w:pPr>
              <w:widowControl/>
              <w:jc w:val="left"/>
              <w:rPr>
                <w:rFonts w:ascii="宋体" w:hAnsi="宋体" w:cs="宋体"/>
                <w:kern w:val="0"/>
                <w:sz w:val="20"/>
                <w:szCs w:val="20"/>
              </w:rPr>
            </w:pPr>
          </w:p>
        </w:tc>
        <w:tc>
          <w:tcPr>
            <w:tcW w:w="1659" w:type="dxa"/>
            <w:tcBorders>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649" w:type="dxa"/>
            <w:gridSpan w:val="3"/>
            <w:tcBorders>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538" w:type="dxa"/>
            <w:gridSpan w:val="4"/>
            <w:tcBorders>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12"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9235" w:type="dxa"/>
            <w:gridSpan w:val="10"/>
            <w:tcBorders>
              <w:top w:val="single" w:color="auto" w:sz="12" w:space="0"/>
              <w:bottom w:val="single" w:color="auto" w:sz="6" w:space="0"/>
            </w:tcBorders>
            <w:shd w:val="clear" w:color="auto" w:fill="auto"/>
            <w:vAlign w:val="center"/>
          </w:tcPr>
          <w:p>
            <w:pPr>
              <w:widowControl/>
              <w:jc w:val="center"/>
              <w:rPr>
                <w:rFonts w:ascii="宋体" w:hAnsi="宋体" w:cs="宋体"/>
                <w:b/>
                <w:kern w:val="0"/>
                <w:sz w:val="20"/>
                <w:szCs w:val="20"/>
              </w:rPr>
            </w:pPr>
            <w:r>
              <w:rPr>
                <w:rFonts w:hint="eastAsia" w:ascii="宋体" w:hAnsi="宋体" w:cs="宋体"/>
                <w:b/>
                <w:kern w:val="0"/>
                <w:sz w:val="20"/>
                <w:szCs w:val="20"/>
              </w:rPr>
              <w:t>关键指标情况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628" w:type="dxa"/>
            <w:vMerge w:val="restart"/>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收入指标</w:t>
            </w:r>
          </w:p>
        </w:tc>
        <w:tc>
          <w:tcPr>
            <w:tcW w:w="7516" w:type="dxa"/>
            <w:gridSpan w:val="8"/>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一、本年高新技术产品（服务）收入（5+6）</w:t>
            </w:r>
          </w:p>
        </w:tc>
        <w:tc>
          <w:tcPr>
            <w:tcW w:w="109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7516" w:type="dxa"/>
            <w:gridSpan w:val="8"/>
            <w:tcBorders>
              <w:top w:val="single" w:color="auto" w:sz="6" w:space="0"/>
              <w:bottom w:val="single" w:color="auto" w:sz="6" w:space="0"/>
            </w:tcBorders>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其中：产品（服务）收入</w:t>
            </w:r>
          </w:p>
        </w:tc>
        <w:tc>
          <w:tcPr>
            <w:tcW w:w="109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7516" w:type="dxa"/>
            <w:gridSpan w:val="8"/>
            <w:tcBorders>
              <w:top w:val="single" w:color="auto" w:sz="6" w:space="0"/>
              <w:bottom w:val="single" w:color="auto" w:sz="6" w:space="0"/>
            </w:tcBorders>
            <w:shd w:val="clear" w:color="auto" w:fill="auto"/>
            <w:vAlign w:val="center"/>
          </w:tcPr>
          <w:p>
            <w:pPr>
              <w:widowControl/>
              <w:ind w:firstLine="1000" w:firstLineChars="500"/>
              <w:jc w:val="left"/>
              <w:rPr>
                <w:rFonts w:ascii="宋体" w:hAnsi="宋体" w:cs="宋体"/>
                <w:kern w:val="0"/>
                <w:sz w:val="20"/>
                <w:szCs w:val="20"/>
              </w:rPr>
            </w:pPr>
            <w:r>
              <w:rPr>
                <w:rFonts w:hint="eastAsia" w:ascii="宋体" w:hAnsi="宋体" w:cs="宋体"/>
                <w:kern w:val="0"/>
                <w:sz w:val="20"/>
                <w:szCs w:val="20"/>
              </w:rPr>
              <w:t>技术性收入</w:t>
            </w:r>
          </w:p>
        </w:tc>
        <w:tc>
          <w:tcPr>
            <w:tcW w:w="109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7516" w:type="dxa"/>
            <w:gridSpan w:val="8"/>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二、本年企业总收入(8-9)</w:t>
            </w:r>
          </w:p>
        </w:tc>
        <w:tc>
          <w:tcPr>
            <w:tcW w:w="109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7516" w:type="dxa"/>
            <w:gridSpan w:val="8"/>
            <w:tcBorders>
              <w:top w:val="single" w:color="auto" w:sz="6" w:space="0"/>
              <w:bottom w:val="single" w:color="auto" w:sz="6" w:space="0"/>
            </w:tcBorders>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其中：收入总额</w:t>
            </w:r>
          </w:p>
        </w:tc>
        <w:tc>
          <w:tcPr>
            <w:tcW w:w="109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7516" w:type="dxa"/>
            <w:gridSpan w:val="8"/>
            <w:tcBorders>
              <w:top w:val="single" w:color="auto" w:sz="6" w:space="0"/>
              <w:bottom w:val="single" w:color="auto" w:sz="6" w:space="0"/>
            </w:tcBorders>
            <w:shd w:val="clear" w:color="auto" w:fill="auto"/>
            <w:vAlign w:val="center"/>
          </w:tcPr>
          <w:p>
            <w:pPr>
              <w:widowControl/>
              <w:ind w:firstLine="1000" w:firstLineChars="500"/>
              <w:jc w:val="left"/>
              <w:rPr>
                <w:rFonts w:ascii="宋体" w:hAnsi="宋体" w:cs="宋体"/>
                <w:kern w:val="0"/>
                <w:sz w:val="20"/>
                <w:szCs w:val="20"/>
              </w:rPr>
            </w:pPr>
            <w:r>
              <w:rPr>
                <w:rFonts w:hint="eastAsia" w:ascii="宋体" w:hAnsi="宋体" w:cs="宋体"/>
                <w:kern w:val="0"/>
                <w:sz w:val="20"/>
                <w:szCs w:val="20"/>
              </w:rPr>
              <w:t>不征税收入</w:t>
            </w:r>
          </w:p>
        </w:tc>
        <w:tc>
          <w:tcPr>
            <w:tcW w:w="109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7516" w:type="dxa"/>
            <w:gridSpan w:val="8"/>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三、本年高新技术产品（服务）收入占企业总收入的比例（4÷7）</w:t>
            </w:r>
          </w:p>
        </w:tc>
        <w:tc>
          <w:tcPr>
            <w:tcW w:w="109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628" w:type="dxa"/>
            <w:vMerge w:val="restart"/>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人员指标</w:t>
            </w:r>
          </w:p>
        </w:tc>
        <w:tc>
          <w:tcPr>
            <w:tcW w:w="7516" w:type="dxa"/>
            <w:gridSpan w:val="8"/>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四、本年科技人员数</w:t>
            </w:r>
          </w:p>
        </w:tc>
        <w:tc>
          <w:tcPr>
            <w:tcW w:w="109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7516" w:type="dxa"/>
            <w:gridSpan w:val="8"/>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五、本年职工总数</w:t>
            </w:r>
          </w:p>
        </w:tc>
        <w:tc>
          <w:tcPr>
            <w:tcW w:w="109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7516" w:type="dxa"/>
            <w:gridSpan w:val="8"/>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六、本年科技人员占企业当年职工总数的比例（11÷12）</w:t>
            </w:r>
          </w:p>
        </w:tc>
        <w:tc>
          <w:tcPr>
            <w:tcW w:w="109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vMerge w:val="restart"/>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628" w:type="dxa"/>
            <w:vMerge w:val="restart"/>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研发费用指标</w:t>
            </w:r>
          </w:p>
        </w:tc>
        <w:tc>
          <w:tcPr>
            <w:tcW w:w="4271" w:type="dxa"/>
            <w:gridSpan w:val="3"/>
            <w:vMerge w:val="restart"/>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高新研发费用归集年度</w:t>
            </w:r>
          </w:p>
        </w:tc>
        <w:tc>
          <w:tcPr>
            <w:tcW w:w="108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本年度</w:t>
            </w:r>
          </w:p>
        </w:tc>
        <w:tc>
          <w:tcPr>
            <w:tcW w:w="1083" w:type="dxa"/>
            <w:gridSpan w:val="2"/>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前一年度</w:t>
            </w:r>
          </w:p>
        </w:tc>
        <w:tc>
          <w:tcPr>
            <w:tcW w:w="1081" w:type="dxa"/>
            <w:gridSpan w:val="2"/>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前二年度</w:t>
            </w:r>
          </w:p>
        </w:tc>
        <w:tc>
          <w:tcPr>
            <w:tcW w:w="109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4271" w:type="dxa"/>
            <w:gridSpan w:val="3"/>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108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83" w:type="dxa"/>
            <w:gridSpan w:val="2"/>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81" w:type="dxa"/>
            <w:gridSpan w:val="2"/>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91"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七、归集的高新研发费用金额（16+25）</w:t>
            </w:r>
          </w:p>
        </w:tc>
        <w:tc>
          <w:tcPr>
            <w:tcW w:w="108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（一）内部研究开发投入(17+</w:t>
            </w:r>
            <w:r>
              <w:rPr>
                <w:rFonts w:ascii="宋体" w:hAnsi="宋体" w:cs="宋体"/>
                <w:kern w:val="0"/>
                <w:sz w:val="20"/>
                <w:szCs w:val="20"/>
              </w:rPr>
              <w:t>…</w:t>
            </w:r>
            <w:r>
              <w:rPr>
                <w:rFonts w:hint="eastAsia" w:ascii="宋体" w:hAnsi="宋体" w:cs="宋体"/>
                <w:kern w:val="0"/>
                <w:sz w:val="20"/>
                <w:szCs w:val="20"/>
              </w:rPr>
              <w:t>+22+24)</w:t>
            </w:r>
          </w:p>
        </w:tc>
        <w:tc>
          <w:tcPr>
            <w:tcW w:w="108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1.人员人工费用</w:t>
            </w:r>
          </w:p>
        </w:tc>
        <w:tc>
          <w:tcPr>
            <w:tcW w:w="108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2.直接投入费用</w:t>
            </w:r>
          </w:p>
        </w:tc>
        <w:tc>
          <w:tcPr>
            <w:tcW w:w="108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3.折旧费用与长期待摊费用</w:t>
            </w:r>
          </w:p>
        </w:tc>
        <w:tc>
          <w:tcPr>
            <w:tcW w:w="108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4.无形资产摊销费用</w:t>
            </w:r>
          </w:p>
        </w:tc>
        <w:tc>
          <w:tcPr>
            <w:tcW w:w="108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5.设计费用</w:t>
            </w:r>
          </w:p>
        </w:tc>
        <w:tc>
          <w:tcPr>
            <w:tcW w:w="108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6.装备调试费与实验费用</w:t>
            </w:r>
          </w:p>
        </w:tc>
        <w:tc>
          <w:tcPr>
            <w:tcW w:w="108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7.其他费用</w:t>
            </w:r>
          </w:p>
        </w:tc>
        <w:tc>
          <w:tcPr>
            <w:tcW w:w="108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vAlign w:val="center"/>
          </w:tcPr>
          <w:p>
            <w:pPr>
              <w:widowControl/>
              <w:ind w:firstLine="1000" w:firstLineChars="500"/>
              <w:jc w:val="left"/>
              <w:rPr>
                <w:rFonts w:ascii="宋体" w:hAnsi="宋体" w:cs="宋体"/>
                <w:kern w:val="0"/>
                <w:sz w:val="20"/>
                <w:szCs w:val="20"/>
              </w:rPr>
            </w:pPr>
            <w:r>
              <w:rPr>
                <w:rFonts w:hint="eastAsia" w:ascii="宋体" w:hAnsi="宋体" w:cs="宋体"/>
                <w:kern w:val="0"/>
                <w:sz w:val="20"/>
                <w:szCs w:val="20"/>
              </w:rPr>
              <w:t>其中：可计入研发费用的其他费用</w:t>
            </w:r>
          </w:p>
        </w:tc>
        <w:tc>
          <w:tcPr>
            <w:tcW w:w="108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（二）委托外部研发费用[(26+28)×80%]</w:t>
            </w:r>
          </w:p>
        </w:tc>
        <w:tc>
          <w:tcPr>
            <w:tcW w:w="108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1.境内的外部研发费</w:t>
            </w:r>
          </w:p>
        </w:tc>
        <w:tc>
          <w:tcPr>
            <w:tcW w:w="108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vAlign w:val="center"/>
          </w:tcPr>
          <w:p>
            <w:pPr>
              <w:widowControl/>
              <w:ind w:firstLine="800" w:firstLineChars="400"/>
              <w:jc w:val="left"/>
              <w:rPr>
                <w:rFonts w:ascii="宋体" w:hAnsi="宋体" w:cs="宋体"/>
                <w:kern w:val="0"/>
                <w:sz w:val="20"/>
                <w:szCs w:val="20"/>
              </w:rPr>
            </w:pPr>
            <w:r>
              <w:rPr>
                <w:rFonts w:hint="eastAsia" w:ascii="宋体" w:hAnsi="宋体" w:cs="宋体"/>
                <w:kern w:val="0"/>
                <w:sz w:val="20"/>
                <w:szCs w:val="20"/>
              </w:rPr>
              <w:t>2.境外的外部研发费</w:t>
            </w:r>
          </w:p>
        </w:tc>
        <w:tc>
          <w:tcPr>
            <w:tcW w:w="108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vAlign w:val="center"/>
          </w:tcPr>
          <w:p>
            <w:pPr>
              <w:widowControl/>
              <w:ind w:left="1050" w:leftChars="500"/>
              <w:jc w:val="left"/>
              <w:rPr>
                <w:rFonts w:ascii="宋体" w:hAnsi="宋体" w:cs="宋体"/>
                <w:kern w:val="0"/>
                <w:sz w:val="20"/>
                <w:szCs w:val="20"/>
              </w:rPr>
            </w:pPr>
            <w:r>
              <w:rPr>
                <w:rFonts w:hint="eastAsia" w:ascii="宋体" w:hAnsi="宋体" w:cs="宋体"/>
                <w:kern w:val="0"/>
                <w:sz w:val="20"/>
                <w:szCs w:val="20"/>
              </w:rPr>
              <w:t>其中：可计入研发费用的境外的外部研发费</w:t>
            </w:r>
          </w:p>
        </w:tc>
        <w:tc>
          <w:tcPr>
            <w:tcW w:w="108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4271" w:type="dxa"/>
            <w:gridSpan w:val="3"/>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八、销售（营业）收入</w:t>
            </w:r>
          </w:p>
        </w:tc>
        <w:tc>
          <w:tcPr>
            <w:tcW w:w="108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3"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81" w:type="dxa"/>
            <w:gridSpan w:val="2"/>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9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628" w:type="dxa"/>
            <w:vMerge w:val="continue"/>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p>
        </w:tc>
        <w:tc>
          <w:tcPr>
            <w:tcW w:w="7516" w:type="dxa"/>
            <w:gridSpan w:val="8"/>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九、三年研发费用占销售（营业）收入的比例（15行4列÷29行4列）</w:t>
            </w:r>
          </w:p>
        </w:tc>
        <w:tc>
          <w:tcPr>
            <w:tcW w:w="109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628" w:type="dxa"/>
            <w:vMerge w:val="restart"/>
            <w:tcBorders>
              <w:top w:val="single" w:color="auto" w:sz="6" w:space="0"/>
              <w:bottom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减免税额</w:t>
            </w:r>
          </w:p>
        </w:tc>
        <w:tc>
          <w:tcPr>
            <w:tcW w:w="7516" w:type="dxa"/>
            <w:gridSpan w:val="8"/>
            <w:tcBorders>
              <w:top w:val="single" w:color="auto" w:sz="6" w:space="0"/>
              <w:bottom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十、国家需要重点扶持的高新技术企业减征企业所得税</w:t>
            </w:r>
          </w:p>
        </w:tc>
        <w:tc>
          <w:tcPr>
            <w:tcW w:w="1091" w:type="dxa"/>
            <w:tcBorders>
              <w:top w:val="single" w:color="auto" w:sz="6" w:space="0"/>
              <w:bottom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2" w:hRule="atLeast"/>
          <w:jc w:val="center"/>
        </w:trPr>
        <w:tc>
          <w:tcPr>
            <w:tcW w:w="416" w:type="dxa"/>
            <w:tcBorders>
              <w:top w:val="single" w:color="auto" w:sz="6" w:space="0"/>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628" w:type="dxa"/>
            <w:vMerge w:val="continue"/>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p>
        </w:tc>
        <w:tc>
          <w:tcPr>
            <w:tcW w:w="7516" w:type="dxa"/>
            <w:gridSpan w:val="8"/>
            <w:tcBorders>
              <w:top w:val="single" w:color="auto" w:sz="6"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十一、经济特区和上海浦东新区新设立的高新技术企业定期减免税额</w:t>
            </w:r>
          </w:p>
        </w:tc>
        <w:tc>
          <w:tcPr>
            <w:tcW w:w="1091" w:type="dxa"/>
            <w:tcBorders>
              <w:top w:val="single" w:color="auto" w:sz="6" w:space="0"/>
              <w:bottom w:val="single" w:color="auto" w:sz="12" w:space="0"/>
            </w:tcBorders>
            <w:shd w:val="clear" w:color="auto" w:fill="auto"/>
            <w:vAlign w:val="center"/>
          </w:tcPr>
          <w:p>
            <w:pPr>
              <w:widowControl/>
              <w:jc w:val="right"/>
              <w:rPr>
                <w:rFonts w:ascii="宋体" w:hAnsi="宋体" w:cs="宋体"/>
                <w:kern w:val="0"/>
                <w:sz w:val="20"/>
                <w:szCs w:val="20"/>
              </w:rPr>
            </w:pPr>
          </w:p>
        </w:tc>
      </w:tr>
    </w:tbl>
    <w:p>
      <w:pPr>
        <w:pStyle w:val="9"/>
        <w:ind w:firstLine="40"/>
        <w:rPr>
          <w:sz w:val="2"/>
        </w:rPr>
      </w:pPr>
    </w:p>
    <w:p>
      <w:pPr>
        <w:tabs>
          <w:tab w:val="left" w:pos="2625"/>
        </w:tabs>
        <w:sectPr>
          <w:pgSz w:w="11906" w:h="16838"/>
          <w:pgMar w:top="1985" w:right="1418" w:bottom="1928" w:left="1418" w:header="851" w:footer="992" w:gutter="113"/>
          <w:cols w:space="425" w:num="1"/>
          <w:docGrid w:linePitch="312" w:charSpace="0"/>
        </w:sectPr>
      </w:pPr>
    </w:p>
    <w:bookmarkEnd w:id="89"/>
    <w:bookmarkEnd w:id="90"/>
    <w:p>
      <w:pPr>
        <w:pStyle w:val="8"/>
        <w:spacing w:before="240" w:after="360"/>
        <w:rPr>
          <w:color w:val="000000"/>
        </w:rPr>
      </w:pPr>
      <w:bookmarkStart w:id="98" w:name="_Toc393471149"/>
      <w:bookmarkStart w:id="99" w:name="_Toc499456610"/>
      <w:r>
        <w:rPr>
          <w:rFonts w:hint="eastAsia"/>
          <w:color w:val="000000"/>
        </w:rPr>
        <w:t>A107041</w:t>
      </w:r>
      <w:r>
        <w:rPr>
          <w:color w:val="000000"/>
        </w:rPr>
        <w:tab/>
      </w:r>
      <w:r>
        <w:rPr>
          <w:rFonts w:hint="eastAsia"/>
          <w:color w:val="000000"/>
        </w:rPr>
        <w:t>《高新技术企业优惠情况及明细表》填报说明</w:t>
      </w:r>
      <w:bookmarkEnd w:id="98"/>
      <w:bookmarkEnd w:id="99"/>
    </w:p>
    <w:p>
      <w:pPr>
        <w:spacing w:line="360" w:lineRule="auto"/>
        <w:ind w:firstLine="523" w:firstLineChars="218"/>
        <w:rPr>
          <w:rFonts w:ascii="宋体" w:hAnsi="宋体"/>
          <w:sz w:val="24"/>
        </w:rPr>
      </w:pPr>
      <w:r>
        <w:rPr>
          <w:rFonts w:hint="eastAsia" w:ascii="宋体" w:hAnsi="宋体"/>
          <w:sz w:val="24"/>
        </w:rPr>
        <w:t>高新技术企业资格的纳税人均需填报本表。纳税人根据税法、</w:t>
      </w:r>
      <w:r>
        <w:rPr>
          <w:rFonts w:ascii="宋体" w:hAnsi="宋体"/>
          <w:sz w:val="24"/>
        </w:rPr>
        <w:t>《科技部 财政部 国家税务总局关于</w:t>
      </w:r>
      <w:r>
        <w:rPr>
          <w:rFonts w:hint="eastAsia" w:ascii="宋体" w:hAnsi="宋体"/>
          <w:sz w:val="24"/>
        </w:rPr>
        <w:t>修订印发</w:t>
      </w:r>
      <w:r>
        <w:rPr>
          <w:rFonts w:ascii="宋体" w:hAnsi="宋体"/>
          <w:sz w:val="24"/>
        </w:rPr>
        <w:t>〈高新技术企业认定管理办法〉的通知》（国科发火〔20</w:t>
      </w:r>
      <w:r>
        <w:rPr>
          <w:rFonts w:hint="eastAsia" w:ascii="宋体" w:hAnsi="宋体"/>
          <w:sz w:val="24"/>
        </w:rPr>
        <w:t>16</w:t>
      </w:r>
      <w:r>
        <w:rPr>
          <w:rFonts w:ascii="宋体" w:hAnsi="宋体"/>
          <w:sz w:val="24"/>
        </w:rPr>
        <w:t>〕</w:t>
      </w:r>
      <w:r>
        <w:rPr>
          <w:rFonts w:hint="eastAsia" w:ascii="宋体" w:hAnsi="宋体"/>
          <w:sz w:val="24"/>
        </w:rPr>
        <w:t>32</w:t>
      </w:r>
      <w:r>
        <w:rPr>
          <w:rFonts w:ascii="宋体" w:hAnsi="宋体"/>
          <w:sz w:val="24"/>
        </w:rPr>
        <w:t>号）</w:t>
      </w:r>
      <w:r>
        <w:rPr>
          <w:rFonts w:hint="eastAsia" w:ascii="宋体" w:hAnsi="宋体"/>
          <w:sz w:val="24"/>
        </w:rPr>
        <w:t>、</w:t>
      </w:r>
      <w:r>
        <w:rPr>
          <w:rFonts w:ascii="宋体" w:hAnsi="宋体"/>
          <w:sz w:val="24"/>
        </w:rPr>
        <w:t>《科学技术部 财政部 国家税务总局关于</w:t>
      </w:r>
      <w:r>
        <w:rPr>
          <w:rFonts w:hint="eastAsia" w:ascii="宋体" w:hAnsi="宋体"/>
          <w:sz w:val="24"/>
        </w:rPr>
        <w:t>修订</w:t>
      </w:r>
      <w:r>
        <w:rPr>
          <w:rFonts w:ascii="宋体" w:hAnsi="宋体"/>
          <w:sz w:val="24"/>
        </w:rPr>
        <w:t>印发</w:t>
      </w:r>
      <w:r>
        <w:rPr>
          <w:rFonts w:hint="eastAsia" w:ascii="宋体" w:hAnsi="宋体"/>
          <w:sz w:val="24"/>
        </w:rPr>
        <w:t>〈</w:t>
      </w:r>
      <w:r>
        <w:rPr>
          <w:rFonts w:ascii="宋体" w:hAnsi="宋体"/>
          <w:sz w:val="24"/>
        </w:rPr>
        <w:t>高新技术企业认定管理工作指引〉的通知》（国科发火〔20</w:t>
      </w:r>
      <w:r>
        <w:rPr>
          <w:rFonts w:hint="eastAsia" w:ascii="宋体" w:hAnsi="宋体"/>
          <w:sz w:val="24"/>
        </w:rPr>
        <w:t>16</w:t>
      </w:r>
      <w:r>
        <w:rPr>
          <w:rFonts w:ascii="宋体" w:hAnsi="宋体"/>
          <w:sz w:val="24"/>
        </w:rPr>
        <w:t>〕</w:t>
      </w:r>
      <w:r>
        <w:rPr>
          <w:rFonts w:hint="eastAsia" w:ascii="宋体" w:hAnsi="宋体"/>
          <w:sz w:val="24"/>
        </w:rPr>
        <w:t>195</w:t>
      </w:r>
      <w:r>
        <w:rPr>
          <w:rFonts w:ascii="宋体" w:hAnsi="宋体"/>
          <w:sz w:val="24"/>
        </w:rPr>
        <w:t>号）</w:t>
      </w:r>
      <w:r>
        <w:rPr>
          <w:rFonts w:hint="eastAsia" w:ascii="宋体" w:hAnsi="宋体"/>
          <w:sz w:val="24"/>
        </w:rPr>
        <w:t>、</w:t>
      </w:r>
      <w:r>
        <w:rPr>
          <w:rFonts w:ascii="宋体" w:hAnsi="宋体"/>
          <w:sz w:val="24"/>
        </w:rPr>
        <w:t>《国家税务总局</w:t>
      </w:r>
      <w:r>
        <w:rPr>
          <w:rFonts w:hint="eastAsia" w:ascii="宋体" w:hAnsi="宋体"/>
          <w:sz w:val="24"/>
        </w:rPr>
        <w:t>关于实施高新技术企业所得税优惠政策有关问题的公告</w:t>
      </w:r>
      <w:r>
        <w:rPr>
          <w:rFonts w:ascii="宋体" w:hAnsi="宋体"/>
          <w:sz w:val="24"/>
        </w:rPr>
        <w:t>》（</w:t>
      </w:r>
      <w:r>
        <w:rPr>
          <w:rFonts w:hint="eastAsia" w:ascii="宋体" w:hAnsi="宋体"/>
          <w:sz w:val="24"/>
        </w:rPr>
        <w:t>国家税务总局公告</w:t>
      </w:r>
      <w:r>
        <w:rPr>
          <w:rFonts w:ascii="宋体" w:hAnsi="宋体"/>
          <w:sz w:val="24"/>
        </w:rPr>
        <w:t>20</w:t>
      </w:r>
      <w:r>
        <w:rPr>
          <w:rFonts w:hint="eastAsia" w:ascii="宋体" w:hAnsi="宋体"/>
          <w:sz w:val="24"/>
        </w:rPr>
        <w:t>17年第24</w:t>
      </w:r>
      <w:r>
        <w:rPr>
          <w:rFonts w:ascii="宋体" w:hAnsi="宋体"/>
          <w:sz w:val="24"/>
        </w:rPr>
        <w:t>号）</w:t>
      </w:r>
      <w:r>
        <w:rPr>
          <w:rFonts w:hint="eastAsia" w:ascii="宋体" w:hAnsi="宋体"/>
          <w:sz w:val="24"/>
        </w:rPr>
        <w:t>等相关税收政策规定，填报本年发生的高新技术企业优惠情况。</w:t>
      </w:r>
    </w:p>
    <w:p>
      <w:pPr>
        <w:pStyle w:val="11"/>
        <w:ind w:firstLine="482"/>
      </w:pPr>
      <w:bookmarkStart w:id="100" w:name="_Toc399770028"/>
      <w:r>
        <w:rPr>
          <w:rFonts w:hint="eastAsia"/>
        </w:rPr>
        <w:t>一、有关项目填报说明</w:t>
      </w:r>
      <w:bookmarkEnd w:id="100"/>
    </w:p>
    <w:p>
      <w:pPr>
        <w:spacing w:line="360" w:lineRule="auto"/>
        <w:ind w:firstLine="523" w:firstLineChars="218"/>
        <w:rPr>
          <w:rFonts w:ascii="宋体" w:hAnsi="宋体"/>
          <w:sz w:val="24"/>
        </w:rPr>
      </w:pPr>
      <w:r>
        <w:rPr>
          <w:rFonts w:hint="eastAsia" w:ascii="宋体" w:hAnsi="宋体"/>
          <w:sz w:val="24"/>
        </w:rPr>
        <w:t>1</w:t>
      </w:r>
      <w:r>
        <w:rPr>
          <w:rFonts w:ascii="宋体" w:hAnsi="宋体" w:cs="宋体"/>
          <w:sz w:val="24"/>
        </w:rPr>
        <w:t>.</w:t>
      </w:r>
      <w:r>
        <w:rPr>
          <w:rFonts w:hint="eastAsia" w:ascii="宋体" w:hAnsi="宋体"/>
          <w:sz w:val="24"/>
        </w:rPr>
        <w:t>第1行“《高新技术企业证书》编号”：填报纳税人高新技术企业证书上的编号；“《高新技术企业证书》取得时间”；填报纳税人高新技术企业证书上的取得时间。</w:t>
      </w:r>
    </w:p>
    <w:p>
      <w:pPr>
        <w:snapToGrid w:val="0"/>
        <w:spacing w:line="360" w:lineRule="auto"/>
        <w:ind w:firstLine="480" w:firstLineChars="200"/>
        <w:rPr>
          <w:snapToGrid w:val="0"/>
          <w:kern w:val="0"/>
          <w:sz w:val="24"/>
        </w:rPr>
      </w:pPr>
      <w:r>
        <w:rPr>
          <w:rFonts w:hint="eastAsia" w:ascii="宋体" w:hAnsi="宋体"/>
          <w:sz w:val="24"/>
        </w:rPr>
        <w:t>2</w:t>
      </w:r>
      <w:r>
        <w:rPr>
          <w:rFonts w:ascii="宋体" w:hAnsi="宋体" w:cs="宋体"/>
          <w:sz w:val="24"/>
        </w:rPr>
        <w:t>.</w:t>
      </w:r>
      <w:r>
        <w:rPr>
          <w:rFonts w:hint="eastAsia" w:ascii="宋体" w:hAnsi="宋体"/>
          <w:sz w:val="24"/>
        </w:rPr>
        <w:t>第2行“对企业主要产品（服务）发挥核心支持作用的技术所属范围”：填报对企业主要产品（服务）发挥核心支持作用的技术属于《国家重点支持的高新技术领域》规定的具体范围，填报至三级明细领域，如“</w:t>
      </w:r>
      <w:r>
        <w:rPr>
          <w:rFonts w:ascii="宋体" w:hAnsi="宋体"/>
          <w:sz w:val="24"/>
        </w:rPr>
        <w:t>一、电子信息技术</w:t>
      </w:r>
      <w:bookmarkStart w:id="101" w:name="_Toc165694823"/>
      <w:bookmarkStart w:id="102" w:name="_Toc165539934"/>
      <w:r>
        <w:rPr>
          <w:rFonts w:ascii="宋体" w:hAnsi="宋体"/>
          <w:sz w:val="24"/>
        </w:rPr>
        <w:t>（一）软件</w:t>
      </w:r>
      <w:bookmarkStart w:id="103" w:name="_Toc161825340"/>
      <w:bookmarkStart w:id="104" w:name="_Toc161824949"/>
      <w:bookmarkStart w:id="105" w:name="_Toc161819024"/>
      <w:bookmarkStart w:id="106" w:name="_Toc161818546"/>
      <w:bookmarkStart w:id="107" w:name="_Toc161816646"/>
      <w:bookmarkStart w:id="108" w:name="_Toc161808546"/>
      <w:bookmarkStart w:id="109" w:name="_Toc161815714"/>
      <w:bookmarkStart w:id="110" w:name="_Toc161808830"/>
      <w:bookmarkStart w:id="111" w:name="_Toc161805510"/>
      <w:bookmarkStart w:id="112" w:name="_Toc161805291"/>
      <w:bookmarkStart w:id="113" w:name="_Toc161805072"/>
      <w:bookmarkStart w:id="114" w:name="_Toc161804495"/>
      <w:bookmarkStart w:id="115" w:name="_Toc162079029"/>
      <w:bookmarkStart w:id="116" w:name="_Toc162079277"/>
      <w:bookmarkStart w:id="117" w:name="_Toc165535502"/>
      <w:bookmarkStart w:id="118" w:name="_Toc162083117"/>
      <w:bookmarkStart w:id="119" w:name="_Toc165539935"/>
      <w:bookmarkStart w:id="120" w:name="_Toc165694824"/>
      <w:bookmarkEnd w:id="101"/>
      <w:bookmarkEnd w:id="102"/>
      <w:r>
        <w:rPr>
          <w:rFonts w:ascii="宋体" w:hAnsi="宋体"/>
          <w:sz w:val="24"/>
        </w:rPr>
        <w:t>1</w:t>
      </w:r>
      <w:r>
        <w:rPr>
          <w:rFonts w:hint="eastAsia" w:ascii="宋体" w:hAnsi="宋体"/>
          <w:sz w:val="24"/>
        </w:rPr>
        <w:t>.</w:t>
      </w:r>
      <w:r>
        <w:rPr>
          <w:rFonts w:ascii="宋体" w:hAnsi="宋体"/>
          <w:sz w:val="24"/>
        </w:rPr>
        <w:t>系统软件</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hint="eastAsia" w:ascii="宋体" w:hAnsi="宋体"/>
          <w:sz w:val="24"/>
        </w:rPr>
        <w:t>”。</w:t>
      </w:r>
    </w:p>
    <w:p>
      <w:pPr>
        <w:spacing w:line="360" w:lineRule="auto"/>
        <w:ind w:firstLine="523" w:firstLineChars="218"/>
        <w:rPr>
          <w:rFonts w:ascii="宋体" w:hAnsi="宋体"/>
          <w:sz w:val="24"/>
        </w:rPr>
      </w:pPr>
      <w:r>
        <w:rPr>
          <w:rFonts w:hint="eastAsia" w:ascii="宋体" w:hAnsi="宋体"/>
          <w:sz w:val="24"/>
        </w:rPr>
        <w:t>3</w:t>
      </w:r>
      <w:r>
        <w:rPr>
          <w:rFonts w:ascii="宋体" w:hAnsi="宋体" w:cs="宋体"/>
          <w:sz w:val="24"/>
        </w:rPr>
        <w:t>.</w:t>
      </w:r>
      <w:r>
        <w:rPr>
          <w:rFonts w:hint="eastAsia" w:ascii="宋体" w:hAnsi="宋体"/>
          <w:sz w:val="24"/>
        </w:rPr>
        <w:t>第4行“一、本年高新技术产品（服务）收入”：填报第5+6行的合计金额。</w:t>
      </w:r>
    </w:p>
    <w:p>
      <w:pPr>
        <w:spacing w:line="360" w:lineRule="auto"/>
        <w:ind w:firstLine="523" w:firstLineChars="218"/>
        <w:rPr>
          <w:rFonts w:ascii="宋体" w:hAnsi="宋体"/>
          <w:sz w:val="24"/>
        </w:rPr>
      </w:pPr>
      <w:r>
        <w:rPr>
          <w:rFonts w:hint="eastAsia" w:ascii="宋体" w:hAnsi="宋体"/>
          <w:sz w:val="24"/>
        </w:rPr>
        <w:t>4</w:t>
      </w:r>
      <w:r>
        <w:rPr>
          <w:rFonts w:ascii="宋体" w:hAnsi="宋体" w:cs="宋体"/>
          <w:sz w:val="24"/>
        </w:rPr>
        <w:t>.</w:t>
      </w:r>
      <w:r>
        <w:rPr>
          <w:rFonts w:hint="eastAsia" w:ascii="宋体" w:hAnsi="宋体"/>
          <w:sz w:val="24"/>
        </w:rPr>
        <w:t>第5行“其中：产品（服务）收入”：填报纳税人本年发挥核心支持作用的技术属于《国家重点支持的高新技术领域》规定范围的产品（服务）收入。</w:t>
      </w:r>
    </w:p>
    <w:p>
      <w:pPr>
        <w:spacing w:line="360" w:lineRule="auto"/>
        <w:ind w:firstLine="523" w:firstLineChars="218"/>
        <w:rPr>
          <w:rFonts w:ascii="宋体" w:hAnsi="宋体"/>
          <w:sz w:val="24"/>
        </w:rPr>
      </w:pPr>
      <w:r>
        <w:rPr>
          <w:rFonts w:hint="eastAsia" w:ascii="宋体" w:hAnsi="宋体"/>
          <w:sz w:val="24"/>
        </w:rPr>
        <w:t>5</w:t>
      </w:r>
      <w:r>
        <w:rPr>
          <w:rFonts w:ascii="宋体" w:hAnsi="宋体" w:cs="宋体"/>
          <w:sz w:val="24"/>
        </w:rPr>
        <w:t>.</w:t>
      </w:r>
      <w:r>
        <w:rPr>
          <w:rFonts w:hint="eastAsia" w:ascii="宋体" w:hAnsi="宋体"/>
          <w:sz w:val="24"/>
        </w:rPr>
        <w:t>第6行“技术性收入”：包括技术转让收入、技术服务收入和接受委托研究开发收入。</w:t>
      </w:r>
    </w:p>
    <w:p>
      <w:pPr>
        <w:spacing w:line="360" w:lineRule="auto"/>
        <w:ind w:firstLine="523" w:firstLineChars="218"/>
        <w:rPr>
          <w:rFonts w:ascii="宋体" w:hAnsi="宋体"/>
          <w:sz w:val="24"/>
        </w:rPr>
      </w:pPr>
      <w:r>
        <w:rPr>
          <w:rFonts w:hint="eastAsia" w:ascii="宋体" w:hAnsi="宋体"/>
          <w:sz w:val="24"/>
        </w:rPr>
        <w:t>6</w:t>
      </w:r>
      <w:r>
        <w:rPr>
          <w:rFonts w:ascii="宋体" w:hAnsi="宋体" w:cs="宋体"/>
          <w:sz w:val="24"/>
        </w:rPr>
        <w:t>.</w:t>
      </w:r>
      <w:r>
        <w:rPr>
          <w:rFonts w:hint="eastAsia" w:ascii="宋体" w:hAnsi="宋体"/>
          <w:sz w:val="24"/>
        </w:rPr>
        <w:t>第7行“二、本年企业总收入”：填报第8-9行的余额。</w:t>
      </w:r>
    </w:p>
    <w:p>
      <w:pPr>
        <w:spacing w:line="360" w:lineRule="auto"/>
        <w:ind w:firstLine="523" w:firstLineChars="218"/>
        <w:rPr>
          <w:rFonts w:ascii="宋体" w:hAnsi="宋体"/>
          <w:sz w:val="24"/>
        </w:rPr>
      </w:pPr>
      <w:r>
        <w:rPr>
          <w:rFonts w:hint="eastAsia" w:ascii="宋体" w:hAnsi="宋体"/>
          <w:sz w:val="24"/>
        </w:rPr>
        <w:t>7.第8行“（一）收入总额”：填报纳税人本年以货币形式和非货币形式从各种来源取得的收入，为收入总额。包括：销售货物收入，提供劳务收入，转让财产收入，股息、红利等权益性投资收益，利息收入，租金收入，特许权使用费收入，接受捐赠收入，其他收入。</w:t>
      </w:r>
    </w:p>
    <w:p>
      <w:pPr>
        <w:spacing w:line="360" w:lineRule="auto"/>
        <w:ind w:firstLine="523" w:firstLineChars="218"/>
        <w:rPr>
          <w:rFonts w:ascii="宋体" w:hAnsi="宋体"/>
          <w:sz w:val="24"/>
        </w:rPr>
      </w:pPr>
      <w:r>
        <w:rPr>
          <w:rFonts w:hint="eastAsia" w:ascii="宋体" w:hAnsi="宋体"/>
          <w:sz w:val="24"/>
        </w:rPr>
        <w:t>8.第9行“不征税收入”：填报纳税人本年符合相关政策规定的不征税收入。</w:t>
      </w:r>
    </w:p>
    <w:p>
      <w:pPr>
        <w:spacing w:line="360" w:lineRule="auto"/>
        <w:ind w:firstLine="523" w:firstLineChars="218"/>
        <w:rPr>
          <w:rFonts w:ascii="宋体" w:hAnsi="宋体"/>
          <w:sz w:val="24"/>
        </w:rPr>
      </w:pPr>
      <w:r>
        <w:rPr>
          <w:rFonts w:hint="eastAsia" w:ascii="宋体" w:hAnsi="宋体"/>
          <w:sz w:val="24"/>
        </w:rPr>
        <w:t>9</w:t>
      </w:r>
      <w:r>
        <w:rPr>
          <w:rFonts w:ascii="宋体" w:hAnsi="宋体" w:cs="宋体"/>
          <w:sz w:val="24"/>
        </w:rPr>
        <w:t>.</w:t>
      </w:r>
      <w:r>
        <w:rPr>
          <w:rFonts w:hint="eastAsia" w:ascii="宋体" w:hAnsi="宋体"/>
          <w:sz w:val="24"/>
        </w:rPr>
        <w:t>第10行“三、本年高新技术产品（服务）收入占企业总收入的比例”：填报第4</w:t>
      </w:r>
      <w:r>
        <w:rPr>
          <w:rFonts w:hint="eastAsia" w:ascii="宋体" w:hAnsi="宋体" w:cs="宋体"/>
          <w:sz w:val="24"/>
        </w:rPr>
        <w:t>÷</w:t>
      </w:r>
      <w:r>
        <w:rPr>
          <w:rFonts w:hint="eastAsia" w:ascii="宋体" w:hAnsi="宋体"/>
          <w:sz w:val="24"/>
        </w:rPr>
        <w:t>7行计算后的比例。</w:t>
      </w:r>
    </w:p>
    <w:p>
      <w:pPr>
        <w:spacing w:line="360" w:lineRule="auto"/>
        <w:ind w:firstLine="523" w:firstLineChars="218"/>
        <w:jc w:val="left"/>
        <w:rPr>
          <w:rFonts w:ascii="宋体" w:hAnsi="宋体"/>
          <w:sz w:val="24"/>
        </w:rPr>
      </w:pPr>
      <w:r>
        <w:rPr>
          <w:rFonts w:hint="eastAsia" w:ascii="宋体" w:hAnsi="宋体"/>
          <w:sz w:val="24"/>
        </w:rPr>
        <w:t>10</w:t>
      </w:r>
      <w:r>
        <w:rPr>
          <w:rFonts w:ascii="宋体" w:hAnsi="宋体" w:cs="宋体"/>
          <w:sz w:val="24"/>
        </w:rPr>
        <w:t>.</w:t>
      </w:r>
      <w:r>
        <w:rPr>
          <w:rFonts w:hint="eastAsia" w:ascii="宋体" w:hAnsi="宋体"/>
          <w:sz w:val="24"/>
        </w:rPr>
        <w:t>第11行“四、本年科技人员数”：填报纳税人直接从事研发和相关技术创新活动，以及专门从事上述活动的管理和提供直接技术服务的，累计实际工作时间在183天以上的人员，包括在职、兼职和临时聘用人员。</w:t>
      </w:r>
    </w:p>
    <w:p>
      <w:pPr>
        <w:spacing w:line="360" w:lineRule="auto"/>
        <w:ind w:firstLine="523" w:firstLineChars="218"/>
        <w:rPr>
          <w:rFonts w:ascii="宋体" w:hAnsi="宋体"/>
          <w:sz w:val="24"/>
        </w:rPr>
      </w:pPr>
      <w:r>
        <w:rPr>
          <w:rFonts w:hint="eastAsia" w:ascii="宋体" w:hAnsi="宋体"/>
          <w:sz w:val="24"/>
        </w:rPr>
        <w:t>11</w:t>
      </w:r>
      <w:r>
        <w:rPr>
          <w:rFonts w:ascii="宋体" w:hAnsi="宋体" w:cs="宋体"/>
          <w:sz w:val="24"/>
        </w:rPr>
        <w:t>.</w:t>
      </w:r>
      <w:r>
        <w:rPr>
          <w:rFonts w:hint="eastAsia" w:ascii="宋体" w:hAnsi="宋体"/>
          <w:sz w:val="24"/>
        </w:rPr>
        <w:t>第12行“五、本年职工总数”：填报纳税人本年在职、兼职和临时聘用人员。在职人员可以通过企业是否签订了劳动合同或缴纳社会保险费来鉴别。兼职、临时聘用人员全年须在企业累计工作183天以上。</w:t>
      </w:r>
    </w:p>
    <w:p>
      <w:pPr>
        <w:spacing w:line="360" w:lineRule="auto"/>
        <w:ind w:firstLine="523" w:firstLineChars="218"/>
        <w:jc w:val="left"/>
        <w:rPr>
          <w:rFonts w:ascii="宋体" w:hAnsi="宋体"/>
          <w:color w:val="FF0000"/>
          <w:sz w:val="24"/>
        </w:rPr>
      </w:pPr>
      <w:r>
        <w:rPr>
          <w:rFonts w:hint="eastAsia" w:ascii="宋体" w:hAnsi="宋体"/>
          <w:sz w:val="24"/>
        </w:rPr>
        <w:t>12</w:t>
      </w:r>
      <w:r>
        <w:rPr>
          <w:rFonts w:ascii="宋体" w:hAnsi="宋体" w:cs="宋体"/>
          <w:sz w:val="24"/>
        </w:rPr>
        <w:t>.</w:t>
      </w:r>
      <w:r>
        <w:rPr>
          <w:rFonts w:hint="eastAsia" w:ascii="宋体" w:hAnsi="宋体"/>
          <w:sz w:val="24"/>
        </w:rPr>
        <w:t>第13行“六、本年科技人员占企业当年职工总数的比例”：填报第11</w:t>
      </w:r>
      <w:r>
        <w:rPr>
          <w:rFonts w:hint="eastAsia" w:ascii="宋体" w:hAnsi="宋体" w:cs="宋体"/>
          <w:sz w:val="24"/>
        </w:rPr>
        <w:t>÷</w:t>
      </w:r>
      <w:r>
        <w:rPr>
          <w:rFonts w:hint="eastAsia" w:ascii="宋体" w:hAnsi="宋体"/>
          <w:sz w:val="24"/>
        </w:rPr>
        <w:t>12行计算后的比例。</w:t>
      </w:r>
    </w:p>
    <w:p>
      <w:pPr>
        <w:spacing w:line="360" w:lineRule="auto"/>
        <w:ind w:firstLine="523" w:firstLineChars="218"/>
        <w:jc w:val="left"/>
        <w:rPr>
          <w:rFonts w:ascii="宋体" w:hAnsi="宋体"/>
          <w:sz w:val="24"/>
        </w:rPr>
      </w:pPr>
      <w:r>
        <w:rPr>
          <w:rFonts w:hint="eastAsia" w:ascii="宋体" w:hAnsi="宋体"/>
          <w:sz w:val="24"/>
        </w:rPr>
        <w:t>13.第14行“高新研发费用归集年度”：本行设定了三个年度，与计算研发费比例相关的第15行至第29行需填报三年数据，实际经营不满三年的按实际经营时间填报。</w:t>
      </w:r>
    </w:p>
    <w:p>
      <w:pPr>
        <w:spacing w:line="360" w:lineRule="auto"/>
        <w:ind w:firstLine="523" w:firstLineChars="218"/>
        <w:rPr>
          <w:rFonts w:ascii="宋体" w:hAnsi="宋体"/>
          <w:sz w:val="24"/>
        </w:rPr>
      </w:pPr>
      <w:r>
        <w:rPr>
          <w:rFonts w:hint="eastAsia" w:ascii="宋体" w:hAnsi="宋体"/>
          <w:sz w:val="24"/>
        </w:rPr>
        <w:t>14</w:t>
      </w:r>
      <w:r>
        <w:rPr>
          <w:rFonts w:ascii="宋体" w:hAnsi="宋体" w:cs="宋体"/>
          <w:sz w:val="24"/>
        </w:rPr>
        <w:t>.</w:t>
      </w:r>
      <w:r>
        <w:rPr>
          <w:rFonts w:hint="eastAsia" w:ascii="宋体" w:hAnsi="宋体"/>
          <w:sz w:val="24"/>
        </w:rPr>
        <w:t>第15行“七、本年归集的高新研发费用金额”：填报第16+25行的合计金额。</w:t>
      </w:r>
    </w:p>
    <w:p>
      <w:pPr>
        <w:spacing w:line="360" w:lineRule="auto"/>
        <w:ind w:firstLine="523" w:firstLineChars="218"/>
        <w:rPr>
          <w:rFonts w:ascii="宋体" w:hAnsi="宋体"/>
          <w:sz w:val="24"/>
        </w:rPr>
      </w:pPr>
      <w:r>
        <w:rPr>
          <w:rFonts w:hint="eastAsia" w:ascii="宋体" w:hAnsi="宋体"/>
          <w:sz w:val="24"/>
        </w:rPr>
        <w:t>15</w:t>
      </w:r>
      <w:r>
        <w:rPr>
          <w:rFonts w:ascii="宋体" w:hAnsi="宋体"/>
          <w:sz w:val="24"/>
        </w:rPr>
        <w:t>.</w:t>
      </w:r>
      <w:r>
        <w:rPr>
          <w:rFonts w:hint="eastAsia" w:ascii="宋体" w:hAnsi="宋体"/>
          <w:sz w:val="24"/>
        </w:rPr>
        <w:t>第16行“（一）内部研究开发投入”：填报第17+18+19+20+21+22+24行的合计金额。</w:t>
      </w:r>
    </w:p>
    <w:p>
      <w:pPr>
        <w:spacing w:line="360" w:lineRule="auto"/>
        <w:ind w:firstLine="523" w:firstLineChars="218"/>
        <w:rPr>
          <w:rFonts w:ascii="宋体" w:hAnsi="宋体"/>
          <w:sz w:val="24"/>
        </w:rPr>
      </w:pPr>
      <w:r>
        <w:rPr>
          <w:rFonts w:hint="eastAsia" w:ascii="宋体" w:hAnsi="宋体"/>
          <w:sz w:val="24"/>
        </w:rPr>
        <w:t>16.第17行“1.人员人工费用”：填报纳税人科技人员的工资薪金、基本养老保险费、基本医疗保险费、失业保险费、工伤保险费、生育保险费和住房公积金，以及外聘科技人员的劳务费用。</w:t>
      </w:r>
    </w:p>
    <w:p>
      <w:pPr>
        <w:spacing w:line="360" w:lineRule="auto"/>
        <w:ind w:firstLine="523" w:firstLineChars="218"/>
        <w:rPr>
          <w:rFonts w:ascii="宋体" w:hAnsi="宋体"/>
          <w:sz w:val="24"/>
        </w:rPr>
      </w:pPr>
      <w:r>
        <w:rPr>
          <w:rFonts w:hint="eastAsia" w:ascii="宋体" w:hAnsi="宋体"/>
          <w:sz w:val="24"/>
        </w:rPr>
        <w:t>17</w:t>
      </w:r>
      <w:r>
        <w:rPr>
          <w:rFonts w:ascii="宋体" w:hAnsi="宋体" w:cs="宋体"/>
          <w:sz w:val="24"/>
        </w:rPr>
        <w:t>.</w:t>
      </w:r>
      <w:r>
        <w:rPr>
          <w:rFonts w:hint="eastAsia" w:ascii="宋体" w:hAnsi="宋体"/>
          <w:sz w:val="24"/>
        </w:rPr>
        <w:t>第18行“2.直接投入费用”：填报纳税人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发活动的固定资产租赁费。</w:t>
      </w:r>
    </w:p>
    <w:p>
      <w:pPr>
        <w:spacing w:line="360" w:lineRule="auto"/>
        <w:ind w:firstLine="523" w:firstLineChars="218"/>
        <w:rPr>
          <w:rFonts w:ascii="宋体" w:hAnsi="宋体"/>
          <w:sz w:val="24"/>
        </w:rPr>
      </w:pPr>
      <w:r>
        <w:rPr>
          <w:rFonts w:hint="eastAsia" w:ascii="宋体" w:hAnsi="宋体"/>
          <w:sz w:val="24"/>
        </w:rPr>
        <w:t>18</w:t>
      </w:r>
      <w:r>
        <w:rPr>
          <w:rFonts w:ascii="宋体" w:hAnsi="宋体" w:cs="宋体"/>
          <w:sz w:val="24"/>
        </w:rPr>
        <w:t>.</w:t>
      </w:r>
      <w:r>
        <w:rPr>
          <w:rFonts w:hint="eastAsia" w:ascii="宋体" w:hAnsi="宋体"/>
          <w:sz w:val="24"/>
        </w:rPr>
        <w:t>第19行“3.折旧费用与长期待摊费用”：填报纳税人用于研究开发活动的仪器、设备和在用建筑物的折旧费；研发设施的改建、改装、装修和修理过程中发生的长期待摊费用。</w:t>
      </w:r>
    </w:p>
    <w:p>
      <w:pPr>
        <w:spacing w:line="360" w:lineRule="auto"/>
        <w:ind w:firstLine="523" w:firstLineChars="218"/>
        <w:rPr>
          <w:rFonts w:ascii="宋体" w:hAnsi="宋体"/>
          <w:sz w:val="24"/>
        </w:rPr>
      </w:pPr>
      <w:r>
        <w:rPr>
          <w:rFonts w:hint="eastAsia" w:ascii="宋体" w:hAnsi="宋体"/>
          <w:sz w:val="24"/>
        </w:rPr>
        <w:t>19.第20行“4.无形资产摊销费用”：填报纳税人用于研究开发活动的软件、知识产权、非专利技术（专有技术、许可证、设计和计算方法等）的摊销费用。</w:t>
      </w:r>
    </w:p>
    <w:p>
      <w:pPr>
        <w:spacing w:line="360" w:lineRule="auto"/>
        <w:ind w:firstLine="523" w:firstLineChars="218"/>
        <w:rPr>
          <w:rFonts w:ascii="宋体" w:hAnsi="宋体"/>
          <w:sz w:val="24"/>
        </w:rPr>
      </w:pPr>
      <w:r>
        <w:rPr>
          <w:rFonts w:hint="eastAsia" w:ascii="宋体" w:hAnsi="宋体"/>
          <w:sz w:val="24"/>
        </w:rPr>
        <w:t>20.第21行“5.设计费用”：填报纳税人为新产品和新工艺进行构思、开发和制造，进行工序、技术规范、规程制定、操作特性方面的设计等发生的费用，包括为获得创新性、创意性、突破性产品进行的创意设计活动发生的相关费用。</w:t>
      </w:r>
    </w:p>
    <w:p>
      <w:pPr>
        <w:spacing w:line="360" w:lineRule="auto"/>
        <w:ind w:firstLine="523" w:firstLineChars="218"/>
        <w:rPr>
          <w:rFonts w:ascii="宋体" w:hAnsi="宋体"/>
          <w:sz w:val="24"/>
        </w:rPr>
      </w:pPr>
      <w:r>
        <w:rPr>
          <w:rFonts w:hint="eastAsia" w:ascii="宋体" w:hAnsi="宋体"/>
          <w:sz w:val="24"/>
        </w:rPr>
        <w:t>21.第22行“6.装备调试费与实验费用”：填报纳税人工装准备过程中研究开发活动所发生的费用，包括研制特殊、专用的生产机器，改变生产和质量控制程序，或制定新方法及标准等活动所发生的费用。</w:t>
      </w:r>
    </w:p>
    <w:p>
      <w:pPr>
        <w:spacing w:line="360" w:lineRule="auto"/>
        <w:ind w:firstLine="523" w:firstLineChars="218"/>
        <w:rPr>
          <w:rFonts w:ascii="宋体" w:hAnsi="宋体"/>
          <w:sz w:val="24"/>
        </w:rPr>
      </w:pPr>
      <w:r>
        <w:rPr>
          <w:rFonts w:hint="eastAsia" w:ascii="宋体" w:hAnsi="宋体"/>
          <w:sz w:val="24"/>
        </w:rPr>
        <w:t>22.第23行“7.其他费用”：填报纳税人与研究开发活动直接相关的其他费用，包括技术图书资料费、资料翻译费、专家咨询费、高新科技研发保险费，研发成果的检索、论证、评审、鉴定、验收费用，知识产权的申请费、注册费、代理费，会议费、差旅费、通讯费等。</w:t>
      </w:r>
    </w:p>
    <w:p>
      <w:pPr>
        <w:spacing w:line="360" w:lineRule="auto"/>
        <w:ind w:firstLine="523" w:firstLineChars="218"/>
        <w:rPr>
          <w:rFonts w:ascii="宋体" w:hAnsi="宋体"/>
          <w:sz w:val="24"/>
        </w:rPr>
      </w:pPr>
      <w:r>
        <w:rPr>
          <w:rFonts w:hint="eastAsia" w:ascii="宋体" w:hAnsi="宋体"/>
          <w:sz w:val="24"/>
        </w:rPr>
        <w:t>23.第24行“其中：可计入研发费用的其他费用”：填报</w:t>
      </w:r>
      <w:r>
        <w:rPr>
          <w:rFonts w:hint="eastAsia"/>
          <w:sz w:val="24"/>
        </w:rPr>
        <w:t>纳税人</w:t>
      </w:r>
      <w:r>
        <w:rPr>
          <w:sz w:val="24"/>
        </w:rPr>
        <w:t>为研究开发活动所发生的</w:t>
      </w:r>
      <w:r>
        <w:rPr>
          <w:rFonts w:hint="eastAsia" w:ascii="宋体" w:hAnsi="宋体"/>
          <w:sz w:val="24"/>
        </w:rPr>
        <w:t>其他费用中不超过研究开发总费用的20%的金额。该行取第17行至第22行之和×20%÷(1-20%)与第23行的孰小值。</w:t>
      </w:r>
    </w:p>
    <w:p>
      <w:pPr>
        <w:spacing w:line="360" w:lineRule="auto"/>
        <w:ind w:firstLine="523" w:firstLineChars="218"/>
        <w:rPr>
          <w:rFonts w:ascii="宋体" w:hAnsi="宋体"/>
          <w:sz w:val="24"/>
        </w:rPr>
      </w:pPr>
      <w:r>
        <w:rPr>
          <w:rFonts w:hint="eastAsia" w:ascii="宋体" w:hAnsi="宋体"/>
          <w:sz w:val="24"/>
        </w:rPr>
        <w:t>24</w:t>
      </w:r>
      <w:r>
        <w:rPr>
          <w:rFonts w:ascii="宋体" w:hAnsi="宋体" w:cs="宋体"/>
          <w:sz w:val="24"/>
        </w:rPr>
        <w:t>.</w:t>
      </w:r>
      <w:r>
        <w:rPr>
          <w:rFonts w:hint="eastAsia" w:ascii="宋体" w:hAnsi="宋体"/>
          <w:sz w:val="24"/>
        </w:rPr>
        <w:t>第25行“（二）委托外部研发费用”：填报纳税人委托境内外其他机构或个人进行研究开发活动所发生的费用（研究开发活动成果为委托方企业拥有，且与该企业的主要经营业务紧密相关）。委托外部研发费用的实际发生额应按照独立交易原则确定，按照实际发生额的80%计入委托方研发费用总额。本行填报（第26+28行）×</w:t>
      </w:r>
      <w:r>
        <w:rPr>
          <w:rFonts w:ascii="宋体" w:hAnsi="宋体"/>
          <w:sz w:val="24"/>
        </w:rPr>
        <w:t>80%</w:t>
      </w:r>
      <w:r>
        <w:rPr>
          <w:rFonts w:hint="eastAsia" w:ascii="宋体" w:hAnsi="宋体"/>
          <w:sz w:val="24"/>
        </w:rPr>
        <w:t>的金额。</w:t>
      </w:r>
    </w:p>
    <w:p>
      <w:pPr>
        <w:spacing w:line="360" w:lineRule="auto"/>
        <w:ind w:firstLine="523" w:firstLineChars="218"/>
        <w:rPr>
          <w:rFonts w:ascii="宋体" w:hAnsi="宋体"/>
          <w:sz w:val="24"/>
        </w:rPr>
      </w:pPr>
      <w:r>
        <w:rPr>
          <w:rFonts w:hint="eastAsia" w:ascii="宋体" w:hAnsi="宋体"/>
          <w:sz w:val="24"/>
        </w:rPr>
        <w:t>25</w:t>
      </w:r>
      <w:r>
        <w:rPr>
          <w:rFonts w:ascii="宋体" w:hAnsi="宋体" w:cs="宋体"/>
          <w:sz w:val="24"/>
        </w:rPr>
        <w:t>.</w:t>
      </w:r>
      <w:r>
        <w:rPr>
          <w:rFonts w:hint="eastAsia" w:ascii="宋体" w:hAnsi="宋体"/>
          <w:sz w:val="24"/>
        </w:rPr>
        <w:t>第26行“1.境内的外部研发费用”：填报纳税人委托境内其他机构或个人进行的研究开发活动所支出的费用。本行填报实际发生境内的外部研发费用</w:t>
      </w:r>
      <w:r>
        <w:rPr>
          <w:rFonts w:ascii="宋体" w:hAnsi="宋体"/>
          <w:sz w:val="24"/>
        </w:rPr>
        <w:t>。</w:t>
      </w:r>
    </w:p>
    <w:p>
      <w:pPr>
        <w:spacing w:line="360" w:lineRule="auto"/>
        <w:ind w:firstLine="523" w:firstLineChars="218"/>
        <w:rPr>
          <w:rFonts w:ascii="宋体" w:hAnsi="宋体"/>
          <w:sz w:val="24"/>
        </w:rPr>
      </w:pPr>
      <w:r>
        <w:rPr>
          <w:rFonts w:hint="eastAsia" w:ascii="宋体" w:hAnsi="宋体"/>
          <w:sz w:val="24"/>
        </w:rPr>
        <w:t>26</w:t>
      </w:r>
      <w:r>
        <w:rPr>
          <w:rFonts w:ascii="宋体" w:hAnsi="宋体"/>
          <w:sz w:val="24"/>
        </w:rPr>
        <w:t>.</w:t>
      </w:r>
      <w:r>
        <w:rPr>
          <w:rFonts w:hint="eastAsia" w:ascii="宋体" w:hAnsi="宋体"/>
          <w:sz w:val="24"/>
        </w:rPr>
        <w:t>第27行“2.境外的外部研发费用”：填报纳税人委托境外机构或个人完成的研究开发活动所发生的费用。受托研发的境外机构是指依照外国(地区)及港澳台法律成立的企业和其他取得收入的组织；受托研发的境外个人是指外籍及港澳台个人。本行填报实际发生境外的外部研发费用</w:t>
      </w:r>
      <w:r>
        <w:rPr>
          <w:rFonts w:ascii="宋体" w:hAnsi="宋体"/>
          <w:sz w:val="24"/>
        </w:rPr>
        <w:t>。</w:t>
      </w:r>
    </w:p>
    <w:p>
      <w:pPr>
        <w:spacing w:line="360" w:lineRule="auto"/>
        <w:ind w:firstLine="523" w:firstLineChars="218"/>
        <w:rPr>
          <w:rFonts w:ascii="宋体" w:hAnsi="宋体" w:cs="宋体"/>
          <w:sz w:val="24"/>
        </w:rPr>
      </w:pPr>
      <w:r>
        <w:rPr>
          <w:rFonts w:hint="eastAsia" w:ascii="宋体" w:hAnsi="宋体"/>
          <w:sz w:val="24"/>
        </w:rPr>
        <w:t>27</w:t>
      </w:r>
      <w:r>
        <w:rPr>
          <w:rFonts w:ascii="宋体" w:hAnsi="宋体" w:cs="宋体"/>
          <w:sz w:val="24"/>
        </w:rPr>
        <w:t>.</w:t>
      </w:r>
      <w:r>
        <w:rPr>
          <w:rFonts w:hint="eastAsia" w:ascii="宋体" w:hAnsi="宋体" w:cs="宋体"/>
          <w:sz w:val="24"/>
        </w:rPr>
        <w:t>第28行“其中：可计入研发费用的境外的外部研发费用”：根据《高新技术企业认定管理办法》等规定，纳税人在中国境内发生的研发费用总额占全部研发费用总额的比例不低于</w:t>
      </w:r>
      <w:r>
        <w:rPr>
          <w:rFonts w:ascii="宋体" w:hAnsi="宋体" w:cs="宋体"/>
          <w:sz w:val="24"/>
        </w:rPr>
        <w:t>60%</w:t>
      </w:r>
      <w:r>
        <w:rPr>
          <w:rFonts w:hint="eastAsia" w:ascii="宋体" w:hAnsi="宋体" w:cs="宋体"/>
          <w:sz w:val="24"/>
        </w:rPr>
        <w:t>，即境外发生的研发费用总额占全部研发费用总额的比例不超过4</w:t>
      </w:r>
      <w:r>
        <w:rPr>
          <w:rFonts w:ascii="宋体" w:hAnsi="宋体" w:cs="宋体"/>
          <w:sz w:val="24"/>
        </w:rPr>
        <w:t>0%</w:t>
      </w:r>
      <w:r>
        <w:rPr>
          <w:rFonts w:hint="eastAsia" w:ascii="宋体" w:hAnsi="宋体" w:cs="宋体"/>
          <w:sz w:val="24"/>
        </w:rPr>
        <w:t>。本行填报（第17+18+…+22+23+26行）×40%÷(1-40%)与第27行的孰小值。</w:t>
      </w:r>
    </w:p>
    <w:p>
      <w:pPr>
        <w:spacing w:line="360" w:lineRule="auto"/>
        <w:ind w:firstLine="523" w:firstLineChars="218"/>
        <w:rPr>
          <w:rFonts w:ascii="宋体" w:hAnsi="宋体" w:cs="宋体"/>
          <w:sz w:val="24"/>
        </w:rPr>
      </w:pPr>
      <w:r>
        <w:rPr>
          <w:rFonts w:hint="eastAsia" w:ascii="宋体" w:hAnsi="宋体" w:cs="宋体"/>
          <w:sz w:val="24"/>
        </w:rPr>
        <w:t>28.第29行“八、销售（营业）收入”：填报纳税人主营业务收入与其他业务收入之和。</w:t>
      </w:r>
    </w:p>
    <w:p>
      <w:pPr>
        <w:spacing w:line="360" w:lineRule="auto"/>
        <w:ind w:firstLine="523" w:firstLineChars="218"/>
        <w:rPr>
          <w:rFonts w:ascii="宋体" w:hAnsi="宋体" w:cs="宋体"/>
          <w:sz w:val="24"/>
        </w:rPr>
      </w:pPr>
      <w:r>
        <w:rPr>
          <w:rFonts w:hint="eastAsia" w:ascii="宋体" w:hAnsi="宋体" w:cs="宋体"/>
          <w:sz w:val="24"/>
        </w:rPr>
        <w:t>29.第30行“九、三年研发费用占销售（营业）收入的比例”：填报第15行4列</w:t>
      </w:r>
      <w:r>
        <w:rPr>
          <w:rFonts w:hint="eastAsia"/>
          <w:color w:val="000000"/>
        </w:rPr>
        <w:t>÷</w:t>
      </w:r>
      <w:r>
        <w:rPr>
          <w:rFonts w:hint="eastAsia" w:ascii="宋体" w:hAnsi="宋体" w:cs="宋体"/>
          <w:sz w:val="24"/>
        </w:rPr>
        <w:t>第29行4列计算后的比例。</w:t>
      </w:r>
    </w:p>
    <w:p>
      <w:pPr>
        <w:spacing w:line="360" w:lineRule="auto"/>
        <w:ind w:firstLine="523" w:firstLineChars="218"/>
        <w:rPr>
          <w:rFonts w:ascii="宋体" w:hAnsi="宋体" w:cs="宋体"/>
          <w:sz w:val="24"/>
        </w:rPr>
      </w:pPr>
      <w:r>
        <w:rPr>
          <w:rFonts w:hint="eastAsia" w:ascii="宋体" w:hAnsi="宋体" w:cs="宋体"/>
          <w:sz w:val="24"/>
        </w:rPr>
        <w:t>30.第31行“十、国家需要重点扶持的高新技术企业减征企业所得税”：本行填报经济特区和上海浦东新区外的高新技术企业或虽在经济特区和上海浦东新区新设的高新技术企业但取得区外所得的减免税金额。</w:t>
      </w:r>
    </w:p>
    <w:p>
      <w:pPr>
        <w:spacing w:line="360" w:lineRule="auto"/>
        <w:ind w:firstLine="523" w:firstLineChars="218"/>
        <w:rPr>
          <w:rFonts w:ascii="宋体" w:hAnsi="宋体"/>
          <w:sz w:val="24"/>
        </w:rPr>
      </w:pPr>
      <w:r>
        <w:rPr>
          <w:rFonts w:hint="eastAsia" w:ascii="宋体" w:hAnsi="宋体" w:cs="宋体"/>
          <w:sz w:val="24"/>
        </w:rPr>
        <w:t>3</w:t>
      </w:r>
      <w:r>
        <w:rPr>
          <w:rFonts w:ascii="宋体" w:hAnsi="宋体" w:cs="宋体"/>
          <w:sz w:val="24"/>
        </w:rPr>
        <w:t>1</w:t>
      </w:r>
      <w:r>
        <w:rPr>
          <w:rFonts w:hint="eastAsia" w:ascii="宋体" w:hAnsi="宋体" w:cs="宋体"/>
          <w:sz w:val="24"/>
        </w:rPr>
        <w:t>.第3</w:t>
      </w:r>
      <w:r>
        <w:rPr>
          <w:rFonts w:ascii="宋体" w:hAnsi="宋体" w:cs="宋体"/>
          <w:sz w:val="24"/>
        </w:rPr>
        <w:t>2</w:t>
      </w:r>
      <w:r>
        <w:rPr>
          <w:rFonts w:hint="eastAsia" w:ascii="宋体" w:hAnsi="宋体" w:cs="宋体"/>
          <w:sz w:val="24"/>
        </w:rPr>
        <w:t>行“十一、经济特区和上海浦东新区新设立的高新技术企业定期减免”：本行填报在经济特区和上海浦东新区新设的高新技术企业区内所得减免税金额。</w:t>
      </w:r>
    </w:p>
    <w:p>
      <w:pPr>
        <w:pStyle w:val="11"/>
        <w:ind w:firstLine="482"/>
      </w:pPr>
      <w:bookmarkStart w:id="121" w:name="_Toc399770029"/>
      <w:bookmarkStart w:id="122" w:name="_Toc393471153"/>
      <w:r>
        <w:rPr>
          <w:rFonts w:hint="eastAsia"/>
        </w:rPr>
        <w:t>二、表内、表间关系</w:t>
      </w:r>
      <w:bookmarkEnd w:id="121"/>
      <w:bookmarkEnd w:id="122"/>
    </w:p>
    <w:p>
      <w:pPr>
        <w:pStyle w:val="12"/>
      </w:pPr>
      <w:r>
        <w:rPr>
          <w:rFonts w:hint="eastAsia"/>
        </w:rPr>
        <w:t>（一）表内关系</w:t>
      </w:r>
    </w:p>
    <w:p>
      <w:pPr>
        <w:spacing w:line="360" w:lineRule="auto"/>
        <w:ind w:firstLine="523" w:firstLineChars="218"/>
        <w:rPr>
          <w:rFonts w:ascii="宋体" w:hAnsi="宋体"/>
          <w:sz w:val="24"/>
        </w:rPr>
      </w:pPr>
      <w:r>
        <w:rPr>
          <w:rFonts w:hint="eastAsia" w:ascii="宋体" w:hAnsi="宋体"/>
          <w:sz w:val="24"/>
        </w:rPr>
        <w:t>1</w:t>
      </w:r>
      <w:r>
        <w:rPr>
          <w:rFonts w:ascii="宋体" w:hAnsi="宋体" w:cs="宋体"/>
          <w:sz w:val="24"/>
        </w:rPr>
        <w:t>.</w:t>
      </w:r>
      <w:r>
        <w:rPr>
          <w:rFonts w:hint="eastAsia" w:ascii="宋体" w:hAnsi="宋体"/>
          <w:sz w:val="24"/>
        </w:rPr>
        <w:t>第4行＝第5+6行。</w:t>
      </w:r>
    </w:p>
    <w:p>
      <w:pPr>
        <w:spacing w:line="360" w:lineRule="auto"/>
        <w:ind w:firstLine="523" w:firstLineChars="218"/>
        <w:rPr>
          <w:rFonts w:ascii="宋体" w:hAnsi="宋体"/>
          <w:sz w:val="24"/>
        </w:rPr>
      </w:pPr>
      <w:r>
        <w:rPr>
          <w:rFonts w:hint="eastAsia" w:ascii="宋体" w:hAnsi="宋体"/>
          <w:sz w:val="24"/>
        </w:rPr>
        <w:t>2.第7行＝第8-9行。</w:t>
      </w:r>
    </w:p>
    <w:p>
      <w:pPr>
        <w:spacing w:line="360" w:lineRule="auto"/>
        <w:ind w:firstLine="523" w:firstLineChars="218"/>
        <w:rPr>
          <w:rFonts w:ascii="宋体" w:hAnsi="宋体"/>
          <w:sz w:val="24"/>
        </w:rPr>
      </w:pPr>
      <w:r>
        <w:rPr>
          <w:rFonts w:hint="eastAsia" w:ascii="宋体" w:hAnsi="宋体"/>
          <w:sz w:val="24"/>
        </w:rPr>
        <w:t>3</w:t>
      </w:r>
      <w:r>
        <w:rPr>
          <w:rFonts w:ascii="宋体" w:hAnsi="宋体" w:cs="宋体"/>
          <w:sz w:val="24"/>
        </w:rPr>
        <w:t>.</w:t>
      </w:r>
      <w:r>
        <w:rPr>
          <w:rFonts w:hint="eastAsia" w:ascii="宋体" w:hAnsi="宋体"/>
          <w:sz w:val="24"/>
        </w:rPr>
        <w:t>第10行＝第4÷7行。</w:t>
      </w:r>
    </w:p>
    <w:p>
      <w:pPr>
        <w:spacing w:line="360" w:lineRule="auto"/>
        <w:ind w:firstLine="523" w:firstLineChars="218"/>
        <w:rPr>
          <w:rFonts w:ascii="宋体" w:hAnsi="宋体" w:cs="宋体"/>
          <w:sz w:val="24"/>
        </w:rPr>
      </w:pPr>
      <w:r>
        <w:rPr>
          <w:rFonts w:hint="eastAsia" w:ascii="宋体" w:hAnsi="宋体"/>
          <w:sz w:val="24"/>
        </w:rPr>
        <w:t>4</w:t>
      </w:r>
      <w:r>
        <w:rPr>
          <w:rFonts w:ascii="宋体" w:hAnsi="宋体" w:cs="宋体"/>
          <w:sz w:val="24"/>
        </w:rPr>
        <w:t>.</w:t>
      </w:r>
      <w:r>
        <w:rPr>
          <w:rFonts w:hint="eastAsia" w:ascii="宋体" w:hAnsi="宋体"/>
          <w:sz w:val="24"/>
        </w:rPr>
        <w:t>第13行＝第11÷</w:t>
      </w:r>
      <w:r>
        <w:rPr>
          <w:rFonts w:ascii="宋体" w:hAnsi="宋体"/>
          <w:sz w:val="24"/>
        </w:rPr>
        <w:t>12行</w:t>
      </w:r>
      <w:r>
        <w:rPr>
          <w:rFonts w:hint="eastAsia" w:ascii="宋体" w:hAnsi="宋体"/>
          <w:sz w:val="24"/>
        </w:rPr>
        <w:t>。</w:t>
      </w:r>
    </w:p>
    <w:p>
      <w:pPr>
        <w:spacing w:line="360" w:lineRule="auto"/>
        <w:ind w:firstLine="523" w:firstLineChars="218"/>
        <w:rPr>
          <w:rFonts w:ascii="宋体" w:hAnsi="宋体"/>
          <w:sz w:val="24"/>
        </w:rPr>
      </w:pPr>
      <w:r>
        <w:rPr>
          <w:rFonts w:hint="eastAsia" w:ascii="宋体" w:hAnsi="宋体"/>
          <w:sz w:val="24"/>
        </w:rPr>
        <w:t>5</w:t>
      </w:r>
      <w:r>
        <w:rPr>
          <w:rFonts w:ascii="宋体" w:hAnsi="宋体" w:cs="宋体"/>
          <w:sz w:val="24"/>
        </w:rPr>
        <w:t>.</w:t>
      </w:r>
      <w:r>
        <w:rPr>
          <w:rFonts w:hint="eastAsia" w:ascii="宋体" w:hAnsi="宋体"/>
          <w:sz w:val="24"/>
        </w:rPr>
        <w:t>第15行＝第16+25</w:t>
      </w:r>
      <w:r>
        <w:rPr>
          <w:rFonts w:ascii="宋体" w:hAnsi="宋体"/>
          <w:sz w:val="24"/>
        </w:rPr>
        <w:t>行</w:t>
      </w:r>
      <w:r>
        <w:rPr>
          <w:rFonts w:hint="eastAsia" w:ascii="宋体" w:hAnsi="宋体"/>
          <w:sz w:val="24"/>
        </w:rPr>
        <w:t>。</w:t>
      </w:r>
    </w:p>
    <w:p>
      <w:pPr>
        <w:spacing w:line="360" w:lineRule="auto"/>
        <w:ind w:firstLine="523" w:firstLineChars="218"/>
        <w:rPr>
          <w:rFonts w:ascii="宋体" w:hAnsi="宋体"/>
          <w:sz w:val="24"/>
        </w:rPr>
      </w:pPr>
      <w:r>
        <w:rPr>
          <w:rFonts w:hint="eastAsia" w:ascii="宋体" w:hAnsi="宋体"/>
          <w:sz w:val="24"/>
        </w:rPr>
        <w:t>6</w:t>
      </w:r>
      <w:r>
        <w:rPr>
          <w:rFonts w:ascii="宋体" w:hAnsi="宋体" w:cs="宋体"/>
          <w:sz w:val="24"/>
        </w:rPr>
        <w:t>.</w:t>
      </w:r>
      <w:r>
        <w:rPr>
          <w:rFonts w:hint="eastAsia" w:ascii="宋体" w:hAnsi="宋体"/>
          <w:sz w:val="24"/>
        </w:rPr>
        <w:t>第16行＝第</w:t>
      </w:r>
      <w:r>
        <w:rPr>
          <w:rFonts w:ascii="宋体" w:hAnsi="宋体"/>
          <w:sz w:val="24"/>
        </w:rPr>
        <w:t>17+18+19+20+21+22+24</w:t>
      </w:r>
      <w:r>
        <w:rPr>
          <w:rFonts w:hint="eastAsia" w:ascii="宋体" w:hAnsi="宋体"/>
          <w:sz w:val="24"/>
        </w:rPr>
        <w:t>行。</w:t>
      </w:r>
    </w:p>
    <w:p>
      <w:pPr>
        <w:spacing w:line="360" w:lineRule="auto"/>
        <w:ind w:firstLine="523" w:firstLineChars="218"/>
        <w:rPr>
          <w:rFonts w:ascii="宋体" w:hAnsi="宋体"/>
          <w:sz w:val="24"/>
        </w:rPr>
      </w:pPr>
      <w:r>
        <w:rPr>
          <w:rFonts w:hint="eastAsia" w:ascii="宋体" w:hAnsi="宋体"/>
          <w:sz w:val="24"/>
        </w:rPr>
        <w:t>7</w:t>
      </w:r>
      <w:r>
        <w:rPr>
          <w:rFonts w:ascii="宋体" w:hAnsi="宋体" w:cs="宋体"/>
          <w:sz w:val="24"/>
        </w:rPr>
        <w:t>.</w:t>
      </w:r>
      <w:r>
        <w:rPr>
          <w:rFonts w:hint="eastAsia" w:ascii="宋体" w:hAnsi="宋体"/>
          <w:sz w:val="24"/>
        </w:rPr>
        <w:t>第25行＝（第26+28行）×80%。</w:t>
      </w:r>
    </w:p>
    <w:p>
      <w:pPr>
        <w:spacing w:line="360" w:lineRule="auto"/>
        <w:ind w:firstLine="523" w:firstLineChars="218"/>
        <w:rPr>
          <w:rFonts w:ascii="宋体" w:hAnsi="宋体"/>
          <w:sz w:val="24"/>
        </w:rPr>
      </w:pPr>
      <w:r>
        <w:rPr>
          <w:rFonts w:hint="eastAsia" w:ascii="宋体" w:hAnsi="宋体"/>
          <w:sz w:val="24"/>
        </w:rPr>
        <w:t>8</w:t>
      </w:r>
      <w:r>
        <w:rPr>
          <w:rFonts w:ascii="宋体" w:hAnsi="宋体" w:cs="宋体"/>
          <w:sz w:val="24"/>
        </w:rPr>
        <w:t>.</w:t>
      </w:r>
      <w:r>
        <w:rPr>
          <w:rFonts w:hint="eastAsia" w:ascii="宋体" w:hAnsi="宋体"/>
          <w:sz w:val="24"/>
        </w:rPr>
        <w:t>第30行＝</w:t>
      </w:r>
      <w:r>
        <w:rPr>
          <w:rFonts w:hint="eastAsia" w:ascii="宋体" w:hAnsi="宋体" w:cs="宋体"/>
          <w:sz w:val="24"/>
        </w:rPr>
        <w:t>第15行4列</w:t>
      </w:r>
      <w:r>
        <w:rPr>
          <w:rFonts w:hint="eastAsia" w:ascii="宋体" w:hAnsi="宋体"/>
          <w:sz w:val="24"/>
        </w:rPr>
        <w:t>÷</w:t>
      </w:r>
      <w:r>
        <w:rPr>
          <w:rFonts w:hint="eastAsia" w:ascii="宋体" w:hAnsi="宋体" w:cs="宋体"/>
          <w:sz w:val="24"/>
        </w:rPr>
        <w:t>第29行4列</w:t>
      </w:r>
      <w:r>
        <w:rPr>
          <w:rFonts w:hint="eastAsia" w:ascii="宋体" w:hAnsi="宋体"/>
          <w:sz w:val="24"/>
        </w:rPr>
        <w:t>。</w:t>
      </w:r>
    </w:p>
    <w:p>
      <w:pPr>
        <w:pStyle w:val="12"/>
      </w:pPr>
      <w:r>
        <w:rPr>
          <w:rFonts w:hint="eastAsia"/>
        </w:rPr>
        <w:t>（二）表间关系</w:t>
      </w:r>
    </w:p>
    <w:p>
      <w:pPr>
        <w:spacing w:line="360" w:lineRule="auto"/>
        <w:ind w:firstLine="523" w:firstLineChars="218"/>
        <w:rPr>
          <w:rFonts w:ascii="宋体" w:hAnsi="宋体"/>
          <w:sz w:val="24"/>
        </w:rPr>
      </w:pPr>
      <w:r>
        <w:rPr>
          <w:rFonts w:hint="eastAsia" w:ascii="宋体" w:hAnsi="宋体"/>
          <w:sz w:val="24"/>
        </w:rPr>
        <w:t>1.第3</w:t>
      </w:r>
      <w:r>
        <w:rPr>
          <w:rFonts w:ascii="宋体" w:hAnsi="宋体"/>
          <w:sz w:val="24"/>
        </w:rPr>
        <w:t>1</w:t>
      </w:r>
      <w:r>
        <w:rPr>
          <w:rFonts w:hint="eastAsia" w:ascii="宋体" w:hAnsi="宋体"/>
          <w:sz w:val="24"/>
        </w:rPr>
        <w:t>行＝表A107040第2行。</w:t>
      </w:r>
    </w:p>
    <w:p>
      <w:pPr>
        <w:spacing w:line="360" w:lineRule="auto"/>
        <w:ind w:firstLine="523" w:firstLineChars="218"/>
        <w:rPr>
          <w:rFonts w:ascii="宋体" w:hAnsi="宋体"/>
          <w:sz w:val="24"/>
        </w:rPr>
        <w:sectPr>
          <w:footerReference r:id="rId11" w:type="first"/>
          <w:pgSz w:w="11906" w:h="16838"/>
          <w:pgMar w:top="1985" w:right="1418" w:bottom="1928" w:left="1418" w:header="851" w:footer="992" w:gutter="113"/>
          <w:cols w:space="425" w:num="1"/>
          <w:titlePg/>
          <w:docGrid w:linePitch="312" w:charSpace="0"/>
        </w:sectPr>
      </w:pPr>
      <w:r>
        <w:rPr>
          <w:rFonts w:hint="eastAsia" w:ascii="宋体" w:hAnsi="宋体"/>
          <w:sz w:val="24"/>
        </w:rPr>
        <w:t>2.第3</w:t>
      </w:r>
      <w:r>
        <w:rPr>
          <w:rFonts w:ascii="宋体" w:hAnsi="宋体"/>
          <w:sz w:val="24"/>
        </w:rPr>
        <w:t>2</w:t>
      </w:r>
      <w:r>
        <w:rPr>
          <w:rFonts w:hint="eastAsia" w:ascii="宋体" w:hAnsi="宋体"/>
          <w:sz w:val="24"/>
        </w:rPr>
        <w:t>行＝表A107040第3行</w:t>
      </w:r>
      <w:bookmarkStart w:id="123" w:name="_Toc394434243"/>
      <w:bookmarkStart w:id="124" w:name="_Toc393471154"/>
      <w:r>
        <w:rPr>
          <w:rFonts w:hint="eastAsia" w:ascii="宋体" w:hAnsi="宋体"/>
          <w:sz w:val="24"/>
        </w:rPr>
        <w:t>。</w:t>
      </w:r>
    </w:p>
    <w:p>
      <w:pPr>
        <w:pStyle w:val="10"/>
      </w:pPr>
      <w:bookmarkStart w:id="125" w:name="_Toc499456611"/>
      <w:r>
        <w:rPr>
          <w:rFonts w:hint="eastAsia"/>
        </w:rPr>
        <w:t>A107042</w:t>
      </w:r>
      <w:r>
        <w:tab/>
      </w:r>
      <w:r>
        <w:rPr>
          <w:rFonts w:hint="eastAsia"/>
        </w:rPr>
        <w:t>软件、集成电路企业优惠情况及明细表</w:t>
      </w:r>
      <w:bookmarkEnd w:id="125"/>
    </w:p>
    <w:tbl>
      <w:tblPr>
        <w:tblStyle w:val="7"/>
        <w:tblW w:w="1005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0"/>
        <w:gridCol w:w="441"/>
        <w:gridCol w:w="2638"/>
        <w:gridCol w:w="3780"/>
        <w:gridCol w:w="25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55" w:type="dxa"/>
            <w:gridSpan w:val="5"/>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企业类型及减免方式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行号</w:t>
            </w:r>
          </w:p>
        </w:tc>
        <w:tc>
          <w:tcPr>
            <w:tcW w:w="6859"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企业类型</w:t>
            </w:r>
          </w:p>
        </w:tc>
        <w:tc>
          <w:tcPr>
            <w:tcW w:w="257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减免方式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079" w:type="dxa"/>
            <w:gridSpan w:val="2"/>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一、集成电路生产企业</w:t>
            </w:r>
          </w:p>
        </w:tc>
        <w:tc>
          <w:tcPr>
            <w:tcW w:w="37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（一）线宽小于0.8微米（含）</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□二免三减半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079" w:type="dxa"/>
            <w:gridSpan w:val="2"/>
            <w:vMerge w:val="continue"/>
            <w:shd w:val="clear" w:color="auto" w:fill="auto"/>
            <w:vAlign w:val="center"/>
          </w:tcPr>
          <w:p>
            <w:pPr>
              <w:widowControl/>
              <w:jc w:val="left"/>
              <w:rPr>
                <w:rFonts w:ascii="宋体" w:hAnsi="宋体" w:cs="宋体"/>
                <w:kern w:val="0"/>
                <w:sz w:val="20"/>
                <w:szCs w:val="20"/>
              </w:rPr>
            </w:pPr>
          </w:p>
        </w:tc>
        <w:tc>
          <w:tcPr>
            <w:tcW w:w="37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（二）线宽小于0.25微米</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□五免五减半  □15%税率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3079" w:type="dxa"/>
            <w:gridSpan w:val="2"/>
            <w:vMerge w:val="continue"/>
            <w:shd w:val="clear" w:color="auto" w:fill="auto"/>
            <w:vAlign w:val="center"/>
          </w:tcPr>
          <w:p>
            <w:pPr>
              <w:widowControl/>
              <w:jc w:val="left"/>
              <w:rPr>
                <w:rFonts w:ascii="宋体" w:hAnsi="宋体" w:cs="宋体"/>
                <w:kern w:val="0"/>
                <w:sz w:val="20"/>
                <w:szCs w:val="20"/>
              </w:rPr>
            </w:pPr>
          </w:p>
        </w:tc>
        <w:tc>
          <w:tcPr>
            <w:tcW w:w="37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（三）投资额超过80亿元</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□五免五减半  □15%税率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3079" w:type="dxa"/>
            <w:gridSpan w:val="2"/>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二、集成电路设计企业</w:t>
            </w:r>
          </w:p>
        </w:tc>
        <w:tc>
          <w:tcPr>
            <w:tcW w:w="37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（一）新办符合条件</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□二免三减半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3079" w:type="dxa"/>
            <w:gridSpan w:val="2"/>
            <w:vMerge w:val="continue"/>
            <w:shd w:val="clear" w:color="auto" w:fill="auto"/>
            <w:vAlign w:val="center"/>
          </w:tcPr>
          <w:p>
            <w:pPr>
              <w:widowControl/>
              <w:jc w:val="left"/>
              <w:rPr>
                <w:rFonts w:ascii="宋体" w:hAnsi="宋体" w:cs="宋体"/>
                <w:kern w:val="0"/>
                <w:sz w:val="20"/>
                <w:szCs w:val="20"/>
              </w:rPr>
            </w:pPr>
          </w:p>
        </w:tc>
        <w:tc>
          <w:tcPr>
            <w:tcW w:w="37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（二）重点企业 □大型 □领域</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□10%税率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3079" w:type="dxa"/>
            <w:gridSpan w:val="2"/>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三、软件企业（□一般软件</w:t>
            </w:r>
          </w:p>
          <w:p>
            <w:pPr>
              <w:widowControl/>
              <w:jc w:val="left"/>
              <w:rPr>
                <w:rFonts w:ascii="宋体" w:hAnsi="宋体" w:cs="宋体"/>
                <w:kern w:val="0"/>
                <w:sz w:val="20"/>
                <w:szCs w:val="20"/>
              </w:rPr>
            </w:pPr>
            <w:r>
              <w:rPr>
                <w:rFonts w:hint="eastAsia" w:ascii="宋体" w:hAnsi="宋体" w:cs="宋体"/>
                <w:kern w:val="0"/>
                <w:sz w:val="20"/>
                <w:szCs w:val="20"/>
              </w:rPr>
              <w:t>□嵌入式或信息系统集成软件）</w:t>
            </w:r>
          </w:p>
        </w:tc>
        <w:tc>
          <w:tcPr>
            <w:tcW w:w="37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（一）新办符合条件</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□二免三减半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3079" w:type="dxa"/>
            <w:gridSpan w:val="2"/>
            <w:vMerge w:val="continue"/>
            <w:shd w:val="clear" w:color="auto" w:fill="auto"/>
            <w:vAlign w:val="center"/>
          </w:tcPr>
          <w:p>
            <w:pPr>
              <w:widowControl/>
              <w:jc w:val="left"/>
              <w:rPr>
                <w:rFonts w:ascii="宋体" w:hAnsi="宋体" w:cs="宋体"/>
                <w:kern w:val="0"/>
                <w:sz w:val="20"/>
                <w:szCs w:val="20"/>
              </w:rPr>
            </w:pPr>
          </w:p>
        </w:tc>
        <w:tc>
          <w:tcPr>
            <w:tcW w:w="37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（二）重点企业 □大型 □领域 □出口</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□10%税率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6859" w:type="dxa"/>
            <w:gridSpan w:val="3"/>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四、集成电路封装测试企业</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□二免三减半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6859" w:type="dxa"/>
            <w:gridSpan w:val="3"/>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五、集成电路关键专用材料或专用设备生产企业</w:t>
            </w:r>
          </w:p>
          <w:p>
            <w:pPr>
              <w:widowControl/>
              <w:jc w:val="left"/>
              <w:rPr>
                <w:rFonts w:ascii="宋体" w:hAnsi="宋体" w:cs="宋体"/>
                <w:kern w:val="0"/>
                <w:sz w:val="20"/>
                <w:szCs w:val="20"/>
              </w:rPr>
            </w:pPr>
            <w:r>
              <w:rPr>
                <w:rFonts w:hint="eastAsia" w:ascii="宋体" w:hAnsi="宋体" w:cs="宋体"/>
                <w:kern w:val="0"/>
                <w:sz w:val="20"/>
                <w:szCs w:val="20"/>
              </w:rPr>
              <w:t>（□关键专用材料   □专用设备）</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□二免三减半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3079" w:type="dxa"/>
            <w:gridSpan w:val="2"/>
            <w:tcBorders>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获利年度/开始计算优惠期年度</w:t>
            </w:r>
          </w:p>
        </w:tc>
        <w:tc>
          <w:tcPr>
            <w:tcW w:w="6356" w:type="dxa"/>
            <w:gridSpan w:val="2"/>
            <w:tcBorders>
              <w:bottom w:val="single" w:color="auto" w:sz="12" w:space="0"/>
            </w:tcBorders>
            <w:shd w:val="clear" w:color="auto" w:fill="auto"/>
            <w:vAlign w:val="center"/>
          </w:tcPr>
          <w:p>
            <w:pPr>
              <w:widowControl/>
              <w:jc w:val="center"/>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10055" w:type="dxa"/>
            <w:gridSpan w:val="5"/>
            <w:tcBorders>
              <w:top w:val="single" w:color="auto" w:sz="12" w:space="0"/>
              <w:bottom w:val="single" w:color="auto" w:sz="6"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关键指标情况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tcBorders>
              <w:top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441" w:type="dxa"/>
            <w:vMerge w:val="restart"/>
            <w:tcBorders>
              <w:top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人员指标</w:t>
            </w:r>
          </w:p>
        </w:tc>
        <w:tc>
          <w:tcPr>
            <w:tcW w:w="6418" w:type="dxa"/>
            <w:gridSpan w:val="2"/>
            <w:tcBorders>
              <w:top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一、企业本年月平均职工总人数</w:t>
            </w:r>
          </w:p>
        </w:tc>
        <w:tc>
          <w:tcPr>
            <w:tcW w:w="2576" w:type="dxa"/>
            <w:tcBorders>
              <w:top w:val="single" w:color="auto" w:sz="6"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441" w:type="dxa"/>
            <w:vMerge w:val="continue"/>
            <w:shd w:val="clear" w:color="auto" w:fill="auto"/>
            <w:vAlign w:val="center"/>
          </w:tcPr>
          <w:p>
            <w:pPr>
              <w:widowControl/>
              <w:jc w:val="left"/>
              <w:rPr>
                <w:rFonts w:ascii="宋体" w:hAnsi="宋体" w:cs="宋体"/>
                <w:kern w:val="0"/>
                <w:sz w:val="20"/>
                <w:szCs w:val="20"/>
              </w:rPr>
            </w:pPr>
          </w:p>
        </w:tc>
        <w:tc>
          <w:tcPr>
            <w:tcW w:w="6418"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其中：签订劳动合同关系且具有大学专科以上学历的职工人数</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441" w:type="dxa"/>
            <w:vMerge w:val="continue"/>
            <w:shd w:val="clear" w:color="auto" w:fill="auto"/>
            <w:vAlign w:val="center"/>
          </w:tcPr>
          <w:p>
            <w:pPr>
              <w:widowControl/>
              <w:jc w:val="left"/>
              <w:rPr>
                <w:rFonts w:ascii="宋体" w:hAnsi="宋体" w:cs="宋体"/>
                <w:kern w:val="0"/>
                <w:sz w:val="20"/>
                <w:szCs w:val="20"/>
              </w:rPr>
            </w:pPr>
          </w:p>
        </w:tc>
        <w:tc>
          <w:tcPr>
            <w:tcW w:w="6418"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研究开发人员人数</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441" w:type="dxa"/>
            <w:vMerge w:val="continue"/>
            <w:shd w:val="clear" w:color="auto" w:fill="auto"/>
            <w:vAlign w:val="center"/>
          </w:tcPr>
          <w:p>
            <w:pPr>
              <w:widowControl/>
              <w:jc w:val="left"/>
              <w:rPr>
                <w:rFonts w:ascii="宋体" w:hAnsi="宋体" w:cs="宋体"/>
                <w:kern w:val="0"/>
                <w:sz w:val="20"/>
                <w:szCs w:val="20"/>
              </w:rPr>
            </w:pPr>
          </w:p>
        </w:tc>
        <w:tc>
          <w:tcPr>
            <w:tcW w:w="6418"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二、大学专科以上职工占企业本年月平均职工总人数的比例（12÷11）</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441" w:type="dxa"/>
            <w:vMerge w:val="continue"/>
            <w:shd w:val="clear" w:color="auto" w:fill="auto"/>
            <w:vAlign w:val="center"/>
          </w:tcPr>
          <w:p>
            <w:pPr>
              <w:widowControl/>
              <w:jc w:val="left"/>
              <w:rPr>
                <w:rFonts w:ascii="宋体" w:hAnsi="宋体" w:cs="宋体"/>
                <w:kern w:val="0"/>
                <w:sz w:val="20"/>
                <w:szCs w:val="20"/>
              </w:rPr>
            </w:pPr>
          </w:p>
        </w:tc>
        <w:tc>
          <w:tcPr>
            <w:tcW w:w="6418"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三、研究开发人员占企业本年月平均职工总人数的比例（13÷11）</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441"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研发费用指标</w:t>
            </w:r>
          </w:p>
        </w:tc>
        <w:tc>
          <w:tcPr>
            <w:tcW w:w="6418"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四、研发费用总额</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441" w:type="dxa"/>
            <w:vMerge w:val="continue"/>
            <w:shd w:val="clear" w:color="auto" w:fill="auto"/>
            <w:vAlign w:val="center"/>
          </w:tcPr>
          <w:p>
            <w:pPr>
              <w:widowControl/>
              <w:jc w:val="left"/>
              <w:rPr>
                <w:rFonts w:ascii="宋体" w:hAnsi="宋体" w:cs="宋体"/>
                <w:kern w:val="0"/>
                <w:sz w:val="20"/>
                <w:szCs w:val="20"/>
              </w:rPr>
            </w:pPr>
          </w:p>
        </w:tc>
        <w:tc>
          <w:tcPr>
            <w:tcW w:w="6418"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其中：企业在中国境内发生的研发费用金额</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441" w:type="dxa"/>
            <w:vMerge w:val="continue"/>
            <w:shd w:val="clear" w:color="auto" w:fill="auto"/>
            <w:vAlign w:val="center"/>
          </w:tcPr>
          <w:p>
            <w:pPr>
              <w:widowControl/>
              <w:jc w:val="left"/>
              <w:rPr>
                <w:rFonts w:ascii="宋体" w:hAnsi="宋体" w:cs="宋体"/>
                <w:kern w:val="0"/>
                <w:sz w:val="20"/>
                <w:szCs w:val="20"/>
              </w:rPr>
            </w:pPr>
          </w:p>
        </w:tc>
        <w:tc>
          <w:tcPr>
            <w:tcW w:w="6418"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五、研发费用占销售（营业）收入的比例</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441" w:type="dxa"/>
            <w:vMerge w:val="continue"/>
            <w:shd w:val="clear" w:color="auto" w:fill="auto"/>
            <w:vAlign w:val="center"/>
          </w:tcPr>
          <w:p>
            <w:pPr>
              <w:widowControl/>
              <w:jc w:val="left"/>
              <w:rPr>
                <w:rFonts w:ascii="宋体" w:hAnsi="宋体" w:cs="宋体"/>
                <w:kern w:val="0"/>
                <w:sz w:val="20"/>
                <w:szCs w:val="20"/>
              </w:rPr>
            </w:pPr>
          </w:p>
        </w:tc>
        <w:tc>
          <w:tcPr>
            <w:tcW w:w="6418"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六、境内研发费用占研发费用总额的比例（17÷16）</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441"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收入指标</w:t>
            </w:r>
          </w:p>
        </w:tc>
        <w:tc>
          <w:tcPr>
            <w:tcW w:w="6418"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七、企业收入总额</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441" w:type="dxa"/>
            <w:vMerge w:val="continue"/>
            <w:shd w:val="clear" w:color="auto" w:fill="auto"/>
            <w:vAlign w:val="center"/>
          </w:tcPr>
          <w:p>
            <w:pPr>
              <w:widowControl/>
              <w:jc w:val="left"/>
              <w:rPr>
                <w:rFonts w:ascii="宋体" w:hAnsi="宋体" w:cs="宋体"/>
                <w:kern w:val="0"/>
                <w:sz w:val="20"/>
                <w:szCs w:val="20"/>
              </w:rPr>
            </w:pPr>
          </w:p>
        </w:tc>
        <w:tc>
          <w:tcPr>
            <w:tcW w:w="6418"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八、符合条件的销售（营业）收入</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441" w:type="dxa"/>
            <w:vMerge w:val="continue"/>
            <w:shd w:val="clear" w:color="auto" w:fill="auto"/>
            <w:vAlign w:val="center"/>
          </w:tcPr>
          <w:p>
            <w:pPr>
              <w:widowControl/>
              <w:jc w:val="left"/>
              <w:rPr>
                <w:rFonts w:ascii="宋体" w:hAnsi="宋体" w:cs="宋体"/>
                <w:kern w:val="0"/>
                <w:sz w:val="20"/>
                <w:szCs w:val="20"/>
              </w:rPr>
            </w:pPr>
          </w:p>
        </w:tc>
        <w:tc>
          <w:tcPr>
            <w:tcW w:w="6418" w:type="dxa"/>
            <w:gridSpan w:val="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九、符合条件的收入占收入总额的比例（21÷20）</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441" w:type="dxa"/>
            <w:vMerge w:val="continue"/>
            <w:shd w:val="clear" w:color="auto" w:fill="auto"/>
            <w:vAlign w:val="center"/>
          </w:tcPr>
          <w:p>
            <w:pPr>
              <w:widowControl/>
              <w:jc w:val="left"/>
              <w:rPr>
                <w:rFonts w:ascii="宋体" w:hAnsi="宋体" w:cs="宋体"/>
                <w:kern w:val="0"/>
                <w:sz w:val="20"/>
                <w:szCs w:val="20"/>
              </w:rPr>
            </w:pPr>
          </w:p>
        </w:tc>
        <w:tc>
          <w:tcPr>
            <w:tcW w:w="2638" w:type="dxa"/>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十、集成电路设计企业、软件企业填报</w:t>
            </w:r>
          </w:p>
        </w:tc>
        <w:tc>
          <w:tcPr>
            <w:tcW w:w="37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（一）自主设计/开发销售（营业）收入</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441" w:type="dxa"/>
            <w:vMerge w:val="continue"/>
            <w:shd w:val="clear" w:color="auto" w:fill="auto"/>
            <w:vAlign w:val="center"/>
          </w:tcPr>
          <w:p>
            <w:pPr>
              <w:widowControl/>
              <w:jc w:val="left"/>
              <w:rPr>
                <w:rFonts w:ascii="宋体" w:hAnsi="宋体" w:cs="宋体"/>
                <w:kern w:val="0"/>
                <w:sz w:val="20"/>
                <w:szCs w:val="20"/>
              </w:rPr>
            </w:pPr>
          </w:p>
        </w:tc>
        <w:tc>
          <w:tcPr>
            <w:tcW w:w="2638" w:type="dxa"/>
            <w:vMerge w:val="continue"/>
            <w:shd w:val="clear" w:color="auto" w:fill="auto"/>
            <w:vAlign w:val="center"/>
          </w:tcPr>
          <w:p>
            <w:pPr>
              <w:widowControl/>
              <w:jc w:val="left"/>
              <w:rPr>
                <w:rFonts w:ascii="宋体" w:hAnsi="宋体" w:cs="宋体"/>
                <w:kern w:val="0"/>
                <w:sz w:val="20"/>
                <w:szCs w:val="20"/>
              </w:rPr>
            </w:pPr>
          </w:p>
        </w:tc>
        <w:tc>
          <w:tcPr>
            <w:tcW w:w="37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（二）自主设计/开发收入占企业收入总额的比例（23÷20）</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441" w:type="dxa"/>
            <w:vMerge w:val="continue"/>
            <w:shd w:val="clear" w:color="auto" w:fill="auto"/>
            <w:vAlign w:val="center"/>
          </w:tcPr>
          <w:p>
            <w:pPr>
              <w:widowControl/>
              <w:jc w:val="left"/>
              <w:rPr>
                <w:rFonts w:ascii="宋体" w:hAnsi="宋体" w:cs="宋体"/>
                <w:kern w:val="0"/>
                <w:sz w:val="20"/>
                <w:szCs w:val="20"/>
              </w:rPr>
            </w:pPr>
          </w:p>
        </w:tc>
        <w:tc>
          <w:tcPr>
            <w:tcW w:w="2638" w:type="dxa"/>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十一、重点软件企业或重点集成电路设计企业符合“领域”的填报</w:t>
            </w:r>
          </w:p>
        </w:tc>
        <w:tc>
          <w:tcPr>
            <w:tcW w:w="37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（一）适用的领域</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441" w:type="dxa"/>
            <w:vMerge w:val="continue"/>
            <w:shd w:val="clear" w:color="auto" w:fill="auto"/>
            <w:vAlign w:val="center"/>
          </w:tcPr>
          <w:p>
            <w:pPr>
              <w:widowControl/>
              <w:jc w:val="left"/>
              <w:rPr>
                <w:rFonts w:ascii="宋体" w:hAnsi="宋体" w:cs="宋体"/>
                <w:kern w:val="0"/>
                <w:sz w:val="20"/>
                <w:szCs w:val="20"/>
              </w:rPr>
            </w:pPr>
          </w:p>
        </w:tc>
        <w:tc>
          <w:tcPr>
            <w:tcW w:w="2638" w:type="dxa"/>
            <w:vMerge w:val="continue"/>
            <w:shd w:val="clear" w:color="auto" w:fill="auto"/>
            <w:vAlign w:val="center"/>
          </w:tcPr>
          <w:p>
            <w:pPr>
              <w:widowControl/>
              <w:jc w:val="left"/>
              <w:rPr>
                <w:rFonts w:ascii="宋体" w:hAnsi="宋体" w:cs="宋体"/>
                <w:kern w:val="0"/>
                <w:sz w:val="20"/>
                <w:szCs w:val="20"/>
              </w:rPr>
            </w:pPr>
          </w:p>
        </w:tc>
        <w:tc>
          <w:tcPr>
            <w:tcW w:w="37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（二）选择备案领域的销售（营业）收入</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441" w:type="dxa"/>
            <w:vMerge w:val="continue"/>
            <w:shd w:val="clear" w:color="auto" w:fill="auto"/>
            <w:vAlign w:val="center"/>
          </w:tcPr>
          <w:p>
            <w:pPr>
              <w:widowControl/>
              <w:jc w:val="left"/>
              <w:rPr>
                <w:rFonts w:ascii="宋体" w:hAnsi="宋体" w:cs="宋体"/>
                <w:kern w:val="0"/>
                <w:sz w:val="20"/>
                <w:szCs w:val="20"/>
              </w:rPr>
            </w:pPr>
          </w:p>
        </w:tc>
        <w:tc>
          <w:tcPr>
            <w:tcW w:w="2638" w:type="dxa"/>
            <w:vMerge w:val="continue"/>
            <w:shd w:val="clear" w:color="auto" w:fill="auto"/>
            <w:vAlign w:val="center"/>
          </w:tcPr>
          <w:p>
            <w:pPr>
              <w:widowControl/>
              <w:jc w:val="left"/>
              <w:rPr>
                <w:rFonts w:ascii="宋体" w:hAnsi="宋体" w:cs="宋体"/>
                <w:kern w:val="0"/>
                <w:sz w:val="20"/>
                <w:szCs w:val="20"/>
              </w:rPr>
            </w:pPr>
          </w:p>
        </w:tc>
        <w:tc>
          <w:tcPr>
            <w:tcW w:w="37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（三）领域内的销售收入占符合条件的销售收入的比例（26÷21）</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441" w:type="dxa"/>
            <w:vMerge w:val="continue"/>
            <w:shd w:val="clear" w:color="auto" w:fill="auto"/>
            <w:vAlign w:val="center"/>
          </w:tcPr>
          <w:p>
            <w:pPr>
              <w:widowControl/>
              <w:jc w:val="left"/>
              <w:rPr>
                <w:rFonts w:ascii="宋体" w:hAnsi="宋体" w:cs="宋体"/>
                <w:kern w:val="0"/>
                <w:sz w:val="20"/>
                <w:szCs w:val="20"/>
              </w:rPr>
            </w:pPr>
          </w:p>
        </w:tc>
        <w:tc>
          <w:tcPr>
            <w:tcW w:w="2638" w:type="dxa"/>
            <w:vMerge w:val="restart"/>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十二、重点软件企业符合“出口”的填报</w:t>
            </w:r>
          </w:p>
        </w:tc>
        <w:tc>
          <w:tcPr>
            <w:tcW w:w="37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（一）年度软件出口收入总额（美元）</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441" w:type="dxa"/>
            <w:vMerge w:val="continue"/>
            <w:shd w:val="clear" w:color="auto" w:fill="auto"/>
            <w:vAlign w:val="center"/>
          </w:tcPr>
          <w:p>
            <w:pPr>
              <w:widowControl/>
              <w:jc w:val="left"/>
              <w:rPr>
                <w:rFonts w:ascii="宋体" w:hAnsi="宋体" w:cs="宋体"/>
                <w:kern w:val="0"/>
                <w:sz w:val="20"/>
                <w:szCs w:val="20"/>
              </w:rPr>
            </w:pPr>
          </w:p>
        </w:tc>
        <w:tc>
          <w:tcPr>
            <w:tcW w:w="2638" w:type="dxa"/>
            <w:vMerge w:val="continue"/>
            <w:shd w:val="clear" w:color="auto" w:fill="auto"/>
            <w:vAlign w:val="center"/>
          </w:tcPr>
          <w:p>
            <w:pPr>
              <w:widowControl/>
              <w:jc w:val="left"/>
              <w:rPr>
                <w:rFonts w:ascii="宋体" w:hAnsi="宋体" w:cs="宋体"/>
                <w:kern w:val="0"/>
                <w:sz w:val="20"/>
                <w:szCs w:val="20"/>
              </w:rPr>
            </w:pPr>
          </w:p>
        </w:tc>
        <w:tc>
          <w:tcPr>
            <w:tcW w:w="37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（二）年度软件出口收入总额（人民币）</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441" w:type="dxa"/>
            <w:vMerge w:val="continue"/>
            <w:shd w:val="clear" w:color="auto" w:fill="auto"/>
            <w:vAlign w:val="center"/>
          </w:tcPr>
          <w:p>
            <w:pPr>
              <w:widowControl/>
              <w:jc w:val="left"/>
              <w:rPr>
                <w:rFonts w:ascii="宋体" w:hAnsi="宋体" w:cs="宋体"/>
                <w:kern w:val="0"/>
                <w:sz w:val="20"/>
                <w:szCs w:val="20"/>
              </w:rPr>
            </w:pPr>
          </w:p>
        </w:tc>
        <w:tc>
          <w:tcPr>
            <w:tcW w:w="2638" w:type="dxa"/>
            <w:vMerge w:val="continue"/>
            <w:shd w:val="clear" w:color="auto" w:fill="auto"/>
            <w:vAlign w:val="center"/>
          </w:tcPr>
          <w:p>
            <w:pPr>
              <w:widowControl/>
              <w:jc w:val="left"/>
              <w:rPr>
                <w:rFonts w:ascii="宋体" w:hAnsi="宋体" w:cs="宋体"/>
                <w:kern w:val="0"/>
                <w:sz w:val="20"/>
                <w:szCs w:val="20"/>
              </w:rPr>
            </w:pPr>
          </w:p>
        </w:tc>
        <w:tc>
          <w:tcPr>
            <w:tcW w:w="378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（三）软件出口收入总额占本企业年度收入总额的比例（29÷20）</w:t>
            </w:r>
          </w:p>
        </w:tc>
        <w:tc>
          <w:tcPr>
            <w:tcW w:w="257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tcBorders>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441" w:type="dxa"/>
            <w:vMerge w:val="continue"/>
            <w:tcBorders>
              <w:bottom w:val="single" w:color="auto" w:sz="12" w:space="0"/>
            </w:tcBorders>
            <w:shd w:val="clear" w:color="auto" w:fill="auto"/>
            <w:vAlign w:val="center"/>
          </w:tcPr>
          <w:p>
            <w:pPr>
              <w:widowControl/>
              <w:jc w:val="left"/>
              <w:rPr>
                <w:rFonts w:ascii="宋体" w:hAnsi="宋体" w:cs="宋体"/>
                <w:kern w:val="0"/>
                <w:sz w:val="20"/>
                <w:szCs w:val="20"/>
              </w:rPr>
            </w:pPr>
          </w:p>
        </w:tc>
        <w:tc>
          <w:tcPr>
            <w:tcW w:w="2638" w:type="dxa"/>
            <w:tcBorders>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十三、集成电路关键专用材料或专用设备生产企业填报</w:t>
            </w:r>
          </w:p>
        </w:tc>
        <w:tc>
          <w:tcPr>
            <w:tcW w:w="3780" w:type="dxa"/>
            <w:tcBorders>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产品适用目录</w:t>
            </w:r>
          </w:p>
        </w:tc>
        <w:tc>
          <w:tcPr>
            <w:tcW w:w="2576" w:type="dxa"/>
            <w:tcBorders>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620" w:type="dxa"/>
            <w:tcBorders>
              <w:top w:val="single" w:color="auto" w:sz="12" w:space="0"/>
              <w:bottom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6859" w:type="dxa"/>
            <w:gridSpan w:val="3"/>
            <w:tcBorders>
              <w:top w:val="single" w:color="auto" w:sz="12"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减免税额</w:t>
            </w:r>
          </w:p>
        </w:tc>
        <w:tc>
          <w:tcPr>
            <w:tcW w:w="2576" w:type="dxa"/>
            <w:tcBorders>
              <w:top w:val="single" w:color="auto" w:sz="12" w:space="0"/>
              <w:bottom w:val="single" w:color="auto" w:sz="12"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pStyle w:val="9"/>
      </w:pPr>
    </w:p>
    <w:p>
      <w:pPr>
        <w:pStyle w:val="9"/>
        <w:sectPr>
          <w:pgSz w:w="11906" w:h="16838"/>
          <w:pgMar w:top="1985" w:right="1418" w:bottom="1928" w:left="1418" w:header="851" w:footer="992" w:gutter="113"/>
          <w:cols w:space="425" w:num="1"/>
          <w:titlePg/>
          <w:docGrid w:linePitch="312" w:charSpace="0"/>
        </w:sectPr>
      </w:pPr>
    </w:p>
    <w:p>
      <w:pPr>
        <w:pStyle w:val="8"/>
        <w:spacing w:before="240" w:after="360"/>
      </w:pPr>
      <w:bookmarkStart w:id="126" w:name="_Toc499456612"/>
      <w:r>
        <w:rPr>
          <w:rFonts w:hint="eastAsia"/>
        </w:rPr>
        <w:t>A107042</w:t>
      </w:r>
      <w:r>
        <w:tab/>
      </w:r>
      <w:r>
        <w:rPr>
          <w:rFonts w:hint="eastAsia"/>
        </w:rPr>
        <w:t>《软件、集成电路企业优惠情况及明细表》填报说明</w:t>
      </w:r>
      <w:bookmarkEnd w:id="123"/>
      <w:bookmarkEnd w:id="126"/>
    </w:p>
    <w:p>
      <w:pPr>
        <w:pStyle w:val="9"/>
        <w:rPr>
          <w:color w:val="000000"/>
        </w:rPr>
      </w:pPr>
      <w:r>
        <w:rPr>
          <w:rFonts w:hint="eastAsia"/>
          <w:color w:val="000000"/>
        </w:rPr>
        <w:t>本表适用于享受软件、集成电路企业优惠的纳税人填报。纳税人根据税法、《财政部</w:t>
      </w:r>
      <w:r>
        <w:rPr>
          <w:color w:val="000000"/>
        </w:rPr>
        <w:t xml:space="preserve"> </w:t>
      </w:r>
      <w:r>
        <w:rPr>
          <w:rFonts w:hint="eastAsia"/>
          <w:color w:val="000000"/>
        </w:rPr>
        <w:t>国家税务总局关于进一步鼓励软件产业和集成电路产业发展企业所得税政策的通知》（财税〔</w:t>
      </w:r>
      <w:r>
        <w:rPr>
          <w:color w:val="000000"/>
        </w:rPr>
        <w:t>2012</w:t>
      </w:r>
      <w:r>
        <w:rPr>
          <w:rFonts w:hint="eastAsia"/>
          <w:color w:val="000000"/>
        </w:rPr>
        <w:t>〕</w:t>
      </w:r>
      <w:r>
        <w:rPr>
          <w:color w:val="000000"/>
        </w:rPr>
        <w:t>27</w:t>
      </w:r>
      <w:r>
        <w:rPr>
          <w:rFonts w:hint="eastAsia"/>
          <w:color w:val="000000"/>
        </w:rPr>
        <w:t>号）、《财政部</w:t>
      </w:r>
      <w:r>
        <w:rPr>
          <w:color w:val="000000"/>
        </w:rPr>
        <w:t xml:space="preserve"> </w:t>
      </w:r>
      <w:r>
        <w:rPr>
          <w:rFonts w:hint="eastAsia"/>
          <w:color w:val="000000"/>
        </w:rPr>
        <w:t>国家税务总局</w:t>
      </w:r>
      <w:r>
        <w:rPr>
          <w:color w:val="000000"/>
        </w:rPr>
        <w:t xml:space="preserve"> </w:t>
      </w:r>
      <w:r>
        <w:rPr>
          <w:rFonts w:hint="eastAsia"/>
          <w:color w:val="000000"/>
        </w:rPr>
        <w:t>发展改革委</w:t>
      </w:r>
      <w:r>
        <w:rPr>
          <w:color w:val="000000"/>
        </w:rPr>
        <w:t xml:space="preserve"> </w:t>
      </w:r>
      <w:r>
        <w:rPr>
          <w:rFonts w:hint="eastAsia"/>
          <w:color w:val="000000"/>
        </w:rPr>
        <w:t>工业和信息化部关于软件和集成电路产业企业所得税优惠政策有关问题的通知》（财税〔</w:t>
      </w:r>
      <w:r>
        <w:rPr>
          <w:color w:val="000000"/>
        </w:rPr>
        <w:t>2016</w:t>
      </w:r>
      <w:r>
        <w:rPr>
          <w:rFonts w:hint="eastAsia"/>
          <w:color w:val="000000"/>
        </w:rPr>
        <w:t>〕</w:t>
      </w:r>
      <w:r>
        <w:rPr>
          <w:color w:val="000000"/>
        </w:rPr>
        <w:t>49</w:t>
      </w:r>
      <w:r>
        <w:rPr>
          <w:rFonts w:hint="eastAsia"/>
          <w:color w:val="000000"/>
        </w:rPr>
        <w:t>号）、《国家发展和改革委员会</w:t>
      </w:r>
      <w:r>
        <w:rPr>
          <w:color w:val="000000"/>
        </w:rPr>
        <w:t xml:space="preserve"> </w:t>
      </w:r>
      <w:r>
        <w:rPr>
          <w:rFonts w:hint="eastAsia"/>
          <w:color w:val="000000"/>
        </w:rPr>
        <w:t>工业和信息化部</w:t>
      </w:r>
      <w:r>
        <w:rPr>
          <w:color w:val="000000"/>
        </w:rPr>
        <w:t xml:space="preserve"> </w:t>
      </w:r>
      <w:r>
        <w:rPr>
          <w:rFonts w:hint="eastAsia"/>
          <w:color w:val="000000"/>
        </w:rPr>
        <w:t>财政部</w:t>
      </w:r>
      <w:r>
        <w:rPr>
          <w:color w:val="000000"/>
        </w:rPr>
        <w:t xml:space="preserve"> </w:t>
      </w:r>
      <w:r>
        <w:rPr>
          <w:rFonts w:hint="eastAsia"/>
          <w:color w:val="000000"/>
        </w:rPr>
        <w:t>国家税务总局关于印发国家规划布局内重点软件和集成电路设计领域的通知》（发改高技〔</w:t>
      </w:r>
      <w:r>
        <w:rPr>
          <w:color w:val="000000"/>
        </w:rPr>
        <w:t>2016</w:t>
      </w:r>
      <w:r>
        <w:rPr>
          <w:rFonts w:hint="eastAsia"/>
          <w:color w:val="000000"/>
        </w:rPr>
        <w:t>〕</w:t>
      </w:r>
      <w:r>
        <w:rPr>
          <w:color w:val="000000"/>
        </w:rPr>
        <w:t>1056</w:t>
      </w:r>
      <w:r>
        <w:rPr>
          <w:rFonts w:hint="eastAsia"/>
          <w:color w:val="000000"/>
        </w:rPr>
        <w:t>号）、《财政部</w:t>
      </w:r>
      <w:r>
        <w:rPr>
          <w:color w:val="000000"/>
        </w:rPr>
        <w:t xml:space="preserve"> </w:t>
      </w:r>
      <w:r>
        <w:rPr>
          <w:rFonts w:hint="eastAsia"/>
          <w:color w:val="000000"/>
        </w:rPr>
        <w:t>国家税务总局</w:t>
      </w:r>
      <w:r>
        <w:rPr>
          <w:color w:val="000000"/>
        </w:rPr>
        <w:t xml:space="preserve"> </w:t>
      </w:r>
      <w:r>
        <w:rPr>
          <w:rFonts w:hint="eastAsia"/>
          <w:color w:val="000000"/>
        </w:rPr>
        <w:t>发展改革委</w:t>
      </w:r>
      <w:r>
        <w:rPr>
          <w:color w:val="000000"/>
        </w:rPr>
        <w:t xml:space="preserve"> </w:t>
      </w:r>
      <w:r>
        <w:rPr>
          <w:rFonts w:hint="eastAsia"/>
          <w:color w:val="000000"/>
        </w:rPr>
        <w:t>工业和信息化部关于进一步鼓励集成电路产业发展企业所得税政策的通知》（财税〔</w:t>
      </w:r>
      <w:r>
        <w:rPr>
          <w:color w:val="000000"/>
        </w:rPr>
        <w:t>2015</w:t>
      </w:r>
      <w:r>
        <w:rPr>
          <w:rFonts w:hint="eastAsia"/>
          <w:color w:val="000000"/>
        </w:rPr>
        <w:t>〕</w:t>
      </w:r>
      <w:r>
        <w:rPr>
          <w:color w:val="000000"/>
        </w:rPr>
        <w:t>6</w:t>
      </w:r>
      <w:r>
        <w:rPr>
          <w:rFonts w:hint="eastAsia"/>
          <w:color w:val="000000"/>
        </w:rPr>
        <w:t>号）等相关规定，填报本年发生的软件、集成电路企业优惠有关情况。</w:t>
      </w:r>
    </w:p>
    <w:p>
      <w:pPr>
        <w:pStyle w:val="11"/>
        <w:ind w:firstLine="482"/>
      </w:pPr>
      <w:bookmarkStart w:id="127" w:name="_Toc399770031"/>
      <w:bookmarkStart w:id="128" w:name="_Toc394434244"/>
      <w:r>
        <w:rPr>
          <w:rFonts w:hint="eastAsia"/>
        </w:rPr>
        <w:t>一、有关项目填报说明</w:t>
      </w:r>
      <w:bookmarkEnd w:id="127"/>
      <w:bookmarkEnd w:id="128"/>
    </w:p>
    <w:p>
      <w:pPr>
        <w:pStyle w:val="12"/>
      </w:pPr>
      <w:r>
        <w:rPr>
          <w:rFonts w:hint="eastAsia"/>
        </w:rPr>
        <w:t>（一）企业类型及减免方式</w:t>
      </w:r>
    </w:p>
    <w:p>
      <w:pPr>
        <w:pStyle w:val="9"/>
        <w:rPr>
          <w:color w:val="000000"/>
        </w:rPr>
      </w:pPr>
      <w:r>
        <w:rPr>
          <w:rFonts w:hint="eastAsia"/>
          <w:color w:val="000000"/>
        </w:rPr>
        <w:t>纳税人根据企业类型选择享受的优惠政策和享受优惠有关基本信息。</w:t>
      </w:r>
    </w:p>
    <w:p>
      <w:pPr>
        <w:pStyle w:val="9"/>
        <w:rPr>
          <w:color w:val="000000"/>
        </w:rPr>
      </w:pPr>
      <w:r>
        <w:rPr>
          <w:color w:val="000000"/>
        </w:rPr>
        <w:t>1.</w:t>
      </w:r>
      <w:r>
        <w:rPr>
          <w:rFonts w:hint="eastAsia"/>
          <w:color w:val="000000"/>
        </w:rPr>
        <w:t>“企业类型”及“减免方式”：纳税人根据享受优惠的企业类型选择对应的减免方式，其中“减免方式”列中的</w:t>
      </w:r>
      <w:r>
        <w:rPr>
          <w:color w:val="000000"/>
        </w:rPr>
        <w:t>11</w:t>
      </w:r>
      <w:r>
        <w:rPr>
          <w:rFonts w:hint="eastAsia"/>
          <w:color w:val="000000"/>
        </w:rPr>
        <w:t>个选项为单项选择，选择不同的项目优惠金额将带入表A107040对应的行次；“企业类型”中，若享受软件企业有关优惠政策的，须选择软件企业产品类型，“一般软件”和“嵌入式或信息系统集成软件”两个选项必选其一；若享受重点软件或重点集成电路设计企业优惠，须选择重点企业类型，“大型”“领域”和“出口”（其中，“出口”选项仅重点软件企业选择）必选其一。</w:t>
      </w:r>
    </w:p>
    <w:p>
      <w:pPr>
        <w:pStyle w:val="9"/>
        <w:rPr>
          <w:color w:val="000000"/>
        </w:rPr>
      </w:pPr>
      <w:r>
        <w:rPr>
          <w:color w:val="000000"/>
        </w:rPr>
        <w:t>2.</w:t>
      </w:r>
      <w:r>
        <w:rPr>
          <w:rFonts w:hint="eastAsia"/>
          <w:color w:val="000000"/>
        </w:rPr>
        <w:t>第1-</w:t>
      </w:r>
      <w:r>
        <w:rPr>
          <w:color w:val="000000"/>
        </w:rPr>
        <w:t>3</w:t>
      </w:r>
      <w:r>
        <w:rPr>
          <w:rFonts w:hint="eastAsia"/>
          <w:color w:val="000000"/>
        </w:rPr>
        <w:t>行“一、集成电路生产企业”：</w:t>
      </w:r>
    </w:p>
    <w:p>
      <w:pPr>
        <w:pStyle w:val="9"/>
        <w:rPr>
          <w:color w:val="000000"/>
        </w:rPr>
      </w:pPr>
      <w:r>
        <w:rPr>
          <w:rFonts w:hint="eastAsia"/>
          <w:color w:val="000000"/>
        </w:rPr>
        <w:t>第1行“（一）线宽小于</w:t>
      </w:r>
      <w:r>
        <w:rPr>
          <w:color w:val="000000"/>
        </w:rPr>
        <w:t>0.8</w:t>
      </w:r>
      <w:r>
        <w:rPr>
          <w:rFonts w:hint="eastAsia"/>
          <w:color w:val="000000"/>
        </w:rPr>
        <w:t>微米（含）”：是指财税〔</w:t>
      </w:r>
      <w:r>
        <w:rPr>
          <w:color w:val="000000"/>
        </w:rPr>
        <w:t>2012</w:t>
      </w:r>
      <w:r>
        <w:rPr>
          <w:rFonts w:hint="eastAsia"/>
          <w:color w:val="000000"/>
        </w:rPr>
        <w:t>〕</w:t>
      </w:r>
      <w:r>
        <w:rPr>
          <w:color w:val="000000"/>
        </w:rPr>
        <w:t>27</w:t>
      </w:r>
      <w:r>
        <w:rPr>
          <w:rFonts w:hint="eastAsia"/>
          <w:color w:val="000000"/>
        </w:rPr>
        <w:t>号文件第一条规定的优惠政策，由线宽小于</w:t>
      </w:r>
      <w:r>
        <w:rPr>
          <w:color w:val="000000"/>
        </w:rPr>
        <w:t>0.8</w:t>
      </w:r>
      <w:r>
        <w:rPr>
          <w:rFonts w:hint="eastAsia"/>
          <w:color w:val="000000"/>
        </w:rPr>
        <w:t>微米（含）集成电路生产企业填报。</w:t>
      </w:r>
    </w:p>
    <w:p>
      <w:pPr>
        <w:pStyle w:val="9"/>
        <w:rPr>
          <w:color w:val="000000"/>
        </w:rPr>
      </w:pPr>
      <w:r>
        <w:rPr>
          <w:rFonts w:hint="eastAsia"/>
          <w:color w:val="000000"/>
        </w:rPr>
        <w:t>第2行“（二）线宽小于</w:t>
      </w:r>
      <w:r>
        <w:rPr>
          <w:color w:val="000000"/>
        </w:rPr>
        <w:t>0.25</w:t>
      </w:r>
      <w:r>
        <w:rPr>
          <w:rFonts w:hint="eastAsia"/>
          <w:color w:val="000000"/>
        </w:rPr>
        <w:t>微米”：是指财税〔</w:t>
      </w:r>
      <w:r>
        <w:rPr>
          <w:color w:val="000000"/>
        </w:rPr>
        <w:t>2012</w:t>
      </w:r>
      <w:r>
        <w:rPr>
          <w:rFonts w:hint="eastAsia"/>
          <w:color w:val="000000"/>
        </w:rPr>
        <w:t>〕</w:t>
      </w:r>
      <w:r>
        <w:rPr>
          <w:color w:val="000000"/>
        </w:rPr>
        <w:t>27</w:t>
      </w:r>
      <w:r>
        <w:rPr>
          <w:rFonts w:hint="eastAsia"/>
          <w:color w:val="000000"/>
        </w:rPr>
        <w:t>号文件第二条规定的优惠，由线宽小于</w:t>
      </w:r>
      <w:r>
        <w:rPr>
          <w:color w:val="000000"/>
        </w:rPr>
        <w:t>0.25</w:t>
      </w:r>
      <w:r>
        <w:rPr>
          <w:rFonts w:hint="eastAsia"/>
          <w:color w:val="000000"/>
        </w:rPr>
        <w:t>微米的集成电路生产企业填报，根据享受的政策选择优惠方式，其中经营期在</w:t>
      </w:r>
      <w:r>
        <w:rPr>
          <w:color w:val="000000"/>
        </w:rPr>
        <w:t>15</w:t>
      </w:r>
      <w:r>
        <w:rPr>
          <w:rFonts w:hint="eastAsia"/>
          <w:color w:val="000000"/>
        </w:rPr>
        <w:t>年以上符合条件的企业，可选择“五免五减半”。</w:t>
      </w:r>
    </w:p>
    <w:p>
      <w:pPr>
        <w:pStyle w:val="9"/>
        <w:rPr>
          <w:color w:val="000000"/>
        </w:rPr>
      </w:pPr>
      <w:r>
        <w:rPr>
          <w:rFonts w:hint="eastAsia"/>
          <w:color w:val="000000"/>
        </w:rPr>
        <w:t>第3行“（三）投资额超过</w:t>
      </w:r>
      <w:r>
        <w:rPr>
          <w:color w:val="000000"/>
        </w:rPr>
        <w:t>80</w:t>
      </w:r>
      <w:r>
        <w:rPr>
          <w:rFonts w:hint="eastAsia"/>
          <w:color w:val="000000"/>
        </w:rPr>
        <w:t>亿元”：是指财税〔</w:t>
      </w:r>
      <w:r>
        <w:rPr>
          <w:color w:val="000000"/>
        </w:rPr>
        <w:t>2012</w:t>
      </w:r>
      <w:r>
        <w:rPr>
          <w:rFonts w:hint="eastAsia"/>
          <w:color w:val="000000"/>
        </w:rPr>
        <w:t>〕</w:t>
      </w:r>
      <w:r>
        <w:rPr>
          <w:color w:val="000000"/>
        </w:rPr>
        <w:t>27</w:t>
      </w:r>
      <w:r>
        <w:rPr>
          <w:rFonts w:hint="eastAsia"/>
          <w:color w:val="000000"/>
        </w:rPr>
        <w:t>号文件第二条规定的优惠，由投资额超过</w:t>
      </w:r>
      <w:r>
        <w:rPr>
          <w:color w:val="000000"/>
        </w:rPr>
        <w:t>80</w:t>
      </w:r>
      <w:r>
        <w:rPr>
          <w:rFonts w:hint="eastAsia"/>
          <w:color w:val="000000"/>
        </w:rPr>
        <w:t>亿元的集成电路生产企业填报，根据享受的政策选择优惠方式，其中经营期在</w:t>
      </w:r>
      <w:r>
        <w:rPr>
          <w:color w:val="000000"/>
        </w:rPr>
        <w:t>15</w:t>
      </w:r>
      <w:r>
        <w:rPr>
          <w:rFonts w:hint="eastAsia"/>
          <w:color w:val="000000"/>
        </w:rPr>
        <w:t>年以上符合条件的企业，可以选择“五免五减半”。</w:t>
      </w:r>
    </w:p>
    <w:p>
      <w:pPr>
        <w:pStyle w:val="9"/>
        <w:rPr>
          <w:color w:val="000000"/>
        </w:rPr>
      </w:pPr>
      <w:r>
        <w:rPr>
          <w:color w:val="000000"/>
        </w:rPr>
        <w:t>3.</w:t>
      </w:r>
      <w:r>
        <w:rPr>
          <w:rFonts w:hint="eastAsia"/>
          <w:color w:val="000000"/>
        </w:rPr>
        <w:t>第4-</w:t>
      </w:r>
      <w:r>
        <w:rPr>
          <w:color w:val="000000"/>
        </w:rPr>
        <w:t>5</w:t>
      </w:r>
      <w:r>
        <w:rPr>
          <w:rFonts w:hint="eastAsia"/>
          <w:color w:val="000000"/>
        </w:rPr>
        <w:t>行“二、集成电路设计企业”：</w:t>
      </w:r>
    </w:p>
    <w:p>
      <w:pPr>
        <w:pStyle w:val="9"/>
        <w:rPr>
          <w:color w:val="000000"/>
        </w:rPr>
      </w:pPr>
      <w:r>
        <w:rPr>
          <w:rFonts w:hint="eastAsia"/>
          <w:color w:val="000000"/>
        </w:rPr>
        <w:t>第4行“（一）新办符合条件”：是指集成电路设计企业享受财税〔</w:t>
      </w:r>
      <w:r>
        <w:rPr>
          <w:color w:val="000000"/>
        </w:rPr>
        <w:t>2012</w:t>
      </w:r>
      <w:r>
        <w:rPr>
          <w:rFonts w:hint="eastAsia"/>
          <w:color w:val="000000"/>
        </w:rPr>
        <w:t>〕</w:t>
      </w:r>
      <w:r>
        <w:rPr>
          <w:color w:val="000000"/>
        </w:rPr>
        <w:t>27</w:t>
      </w:r>
      <w:r>
        <w:rPr>
          <w:rFonts w:hint="eastAsia"/>
          <w:color w:val="000000"/>
        </w:rPr>
        <w:t>号文件第三条规定的优惠政策，由符合条件的集成电路设计企业填报。</w:t>
      </w:r>
    </w:p>
    <w:p>
      <w:pPr>
        <w:pStyle w:val="9"/>
        <w:rPr>
          <w:color w:val="000000"/>
        </w:rPr>
      </w:pPr>
      <w:r>
        <w:rPr>
          <w:rFonts w:hint="eastAsia"/>
          <w:color w:val="000000"/>
        </w:rPr>
        <w:t>第5行“（二）重点企业 □大型 □领域”：是指财税〔</w:t>
      </w:r>
      <w:r>
        <w:rPr>
          <w:color w:val="000000"/>
        </w:rPr>
        <w:t>2012</w:t>
      </w:r>
      <w:r>
        <w:rPr>
          <w:rFonts w:hint="eastAsia"/>
          <w:color w:val="000000"/>
        </w:rPr>
        <w:t>〕</w:t>
      </w:r>
      <w:r>
        <w:rPr>
          <w:color w:val="000000"/>
        </w:rPr>
        <w:t>27</w:t>
      </w:r>
      <w:r>
        <w:rPr>
          <w:rFonts w:hint="eastAsia"/>
          <w:color w:val="000000"/>
        </w:rPr>
        <w:t>号文件第四条规定的优惠政策，由国家规划布局内的重点集成电路设计企业填报，同时，须选择重点集成电路企业的类型，符合财税〔</w:t>
      </w:r>
      <w:r>
        <w:rPr>
          <w:color w:val="000000"/>
        </w:rPr>
        <w:t>2016</w:t>
      </w:r>
      <w:r>
        <w:rPr>
          <w:rFonts w:hint="eastAsia"/>
          <w:color w:val="000000"/>
        </w:rPr>
        <w:t>〕</w:t>
      </w:r>
      <w:r>
        <w:rPr>
          <w:color w:val="000000"/>
        </w:rPr>
        <w:t>49</w:t>
      </w:r>
      <w:r>
        <w:rPr>
          <w:rFonts w:hint="eastAsia"/>
          <w:color w:val="000000"/>
        </w:rPr>
        <w:t>号第五条第一项条件的选择“大型”，符合财税〔</w:t>
      </w:r>
      <w:r>
        <w:rPr>
          <w:color w:val="000000"/>
        </w:rPr>
        <w:t>2016</w:t>
      </w:r>
      <w:r>
        <w:rPr>
          <w:rFonts w:hint="eastAsia"/>
          <w:color w:val="000000"/>
        </w:rPr>
        <w:t>〕</w:t>
      </w:r>
      <w:r>
        <w:rPr>
          <w:color w:val="000000"/>
        </w:rPr>
        <w:t>49</w:t>
      </w:r>
      <w:r>
        <w:rPr>
          <w:rFonts w:hint="eastAsia"/>
          <w:color w:val="000000"/>
        </w:rPr>
        <w:t>号第五条第二项条件的选择“领域”。</w:t>
      </w:r>
    </w:p>
    <w:p>
      <w:pPr>
        <w:pStyle w:val="9"/>
        <w:rPr>
          <w:color w:val="000000"/>
        </w:rPr>
      </w:pPr>
      <w:r>
        <w:rPr>
          <w:rFonts w:hint="eastAsia"/>
          <w:color w:val="000000"/>
        </w:rPr>
        <w:t>4.第6-</w:t>
      </w:r>
      <w:r>
        <w:rPr>
          <w:color w:val="000000"/>
        </w:rPr>
        <w:t>7</w:t>
      </w:r>
      <w:r>
        <w:rPr>
          <w:rFonts w:hint="eastAsia"/>
          <w:color w:val="000000"/>
        </w:rPr>
        <w:t>行“三、软件企业 □一般软件 □嵌入式或信息系统集成软件”：是指软件企业享受财税〔</w:t>
      </w:r>
      <w:r>
        <w:rPr>
          <w:color w:val="000000"/>
        </w:rPr>
        <w:t>2012</w:t>
      </w:r>
      <w:r>
        <w:rPr>
          <w:rFonts w:hint="eastAsia"/>
          <w:color w:val="000000"/>
        </w:rPr>
        <w:t>〕</w:t>
      </w:r>
      <w:r>
        <w:rPr>
          <w:color w:val="000000"/>
        </w:rPr>
        <w:t>27</w:t>
      </w:r>
      <w:r>
        <w:rPr>
          <w:rFonts w:hint="eastAsia"/>
          <w:color w:val="000000"/>
        </w:rPr>
        <w:t>号文件第三条规定的软件企业优惠政策以及第四条规定的国家规划布局内的重点软件企业优惠政策。若企业产品是嵌入式软件产品和信息系统集成产品开发，该选项应选择“嵌入式或信息系统集成软件”，否则选“一般软件”。</w:t>
      </w:r>
    </w:p>
    <w:p>
      <w:pPr>
        <w:pStyle w:val="9"/>
        <w:rPr>
          <w:color w:val="000000"/>
        </w:rPr>
      </w:pPr>
      <w:r>
        <w:rPr>
          <w:rFonts w:hint="eastAsia"/>
          <w:color w:val="000000"/>
        </w:rPr>
        <w:t>第6行“（一）新办符合条件”：是指软件企业享受财税〔</w:t>
      </w:r>
      <w:r>
        <w:rPr>
          <w:color w:val="000000"/>
        </w:rPr>
        <w:t>2012</w:t>
      </w:r>
      <w:r>
        <w:rPr>
          <w:rFonts w:hint="eastAsia"/>
          <w:color w:val="000000"/>
        </w:rPr>
        <w:t>〕</w:t>
      </w:r>
      <w:r>
        <w:rPr>
          <w:color w:val="000000"/>
        </w:rPr>
        <w:t>27</w:t>
      </w:r>
      <w:r>
        <w:rPr>
          <w:rFonts w:hint="eastAsia"/>
          <w:color w:val="000000"/>
        </w:rPr>
        <w:t>号文件第三条规定的优惠政策，由符合条件的软件企业填报。</w:t>
      </w:r>
    </w:p>
    <w:p>
      <w:pPr>
        <w:pStyle w:val="9"/>
        <w:rPr>
          <w:color w:val="000000"/>
        </w:rPr>
      </w:pPr>
      <w:r>
        <w:rPr>
          <w:rFonts w:hint="eastAsia"/>
          <w:color w:val="000000"/>
        </w:rPr>
        <w:t>第7行“（二）重点企业 □大型 □领域 □出口”：是指财税〔</w:t>
      </w:r>
      <w:r>
        <w:rPr>
          <w:color w:val="000000"/>
        </w:rPr>
        <w:t>2012</w:t>
      </w:r>
      <w:r>
        <w:rPr>
          <w:rFonts w:hint="eastAsia"/>
          <w:color w:val="000000"/>
        </w:rPr>
        <w:t>〕</w:t>
      </w:r>
      <w:r>
        <w:rPr>
          <w:color w:val="000000"/>
        </w:rPr>
        <w:t>27</w:t>
      </w:r>
      <w:r>
        <w:rPr>
          <w:rFonts w:hint="eastAsia"/>
          <w:color w:val="000000"/>
        </w:rPr>
        <w:t>号文件第四条规定的优惠政策，由国家规划布局内的重点软件企业填报，同时，须选择重点软件企业的类型，符合财税〔</w:t>
      </w:r>
      <w:r>
        <w:rPr>
          <w:color w:val="000000"/>
        </w:rPr>
        <w:t>2016</w:t>
      </w:r>
      <w:r>
        <w:rPr>
          <w:rFonts w:hint="eastAsia"/>
          <w:color w:val="000000"/>
        </w:rPr>
        <w:t>〕</w:t>
      </w:r>
      <w:r>
        <w:rPr>
          <w:color w:val="000000"/>
        </w:rPr>
        <w:t>49</w:t>
      </w:r>
      <w:r>
        <w:rPr>
          <w:rFonts w:hint="eastAsia"/>
          <w:color w:val="000000"/>
        </w:rPr>
        <w:t>号第六条第一项条件的选择“大型”，符合财税〔</w:t>
      </w:r>
      <w:r>
        <w:rPr>
          <w:color w:val="000000"/>
        </w:rPr>
        <w:t>2016</w:t>
      </w:r>
      <w:r>
        <w:rPr>
          <w:rFonts w:hint="eastAsia"/>
          <w:color w:val="000000"/>
        </w:rPr>
        <w:t>〕</w:t>
      </w:r>
      <w:r>
        <w:rPr>
          <w:color w:val="000000"/>
        </w:rPr>
        <w:t>49</w:t>
      </w:r>
      <w:r>
        <w:rPr>
          <w:rFonts w:hint="eastAsia"/>
          <w:color w:val="000000"/>
        </w:rPr>
        <w:t>号第六条第二项条件的选择“领域”，符合财税〔</w:t>
      </w:r>
      <w:r>
        <w:rPr>
          <w:color w:val="000000"/>
        </w:rPr>
        <w:t>2016</w:t>
      </w:r>
      <w:r>
        <w:rPr>
          <w:rFonts w:hint="eastAsia"/>
          <w:color w:val="000000"/>
        </w:rPr>
        <w:t>〕</w:t>
      </w:r>
      <w:r>
        <w:rPr>
          <w:color w:val="000000"/>
        </w:rPr>
        <w:t>49</w:t>
      </w:r>
      <w:r>
        <w:rPr>
          <w:rFonts w:hint="eastAsia"/>
          <w:color w:val="000000"/>
        </w:rPr>
        <w:t>号第六条第三项条件的选择“出口”。</w:t>
      </w:r>
    </w:p>
    <w:p>
      <w:pPr>
        <w:pStyle w:val="9"/>
        <w:rPr>
          <w:color w:val="000000"/>
        </w:rPr>
      </w:pPr>
      <w:r>
        <w:rPr>
          <w:color w:val="000000"/>
        </w:rPr>
        <w:t>5.</w:t>
      </w:r>
      <w:r>
        <w:rPr>
          <w:rFonts w:hint="eastAsia"/>
          <w:color w:val="000000"/>
        </w:rPr>
        <w:t>第8行“四、集成电路封装测试企业”：是指财税〔</w:t>
      </w:r>
      <w:r>
        <w:rPr>
          <w:color w:val="000000"/>
        </w:rPr>
        <w:t>2015</w:t>
      </w:r>
      <w:r>
        <w:rPr>
          <w:rFonts w:hint="eastAsia"/>
          <w:color w:val="000000"/>
        </w:rPr>
        <w:t>〕</w:t>
      </w:r>
      <w:r>
        <w:rPr>
          <w:color w:val="000000"/>
        </w:rPr>
        <w:t>6</w:t>
      </w:r>
      <w:r>
        <w:rPr>
          <w:rFonts w:hint="eastAsia"/>
          <w:color w:val="000000"/>
        </w:rPr>
        <w:t>号文件第一条规定的优惠政策，由符合条件的集成电路封装、测试企业填报。</w:t>
      </w:r>
    </w:p>
    <w:p>
      <w:pPr>
        <w:pStyle w:val="9"/>
        <w:rPr>
          <w:color w:val="000000"/>
        </w:rPr>
      </w:pPr>
      <w:r>
        <w:rPr>
          <w:color w:val="000000"/>
        </w:rPr>
        <w:t>6.</w:t>
      </w:r>
      <w:r>
        <w:rPr>
          <w:rFonts w:hint="eastAsia"/>
          <w:color w:val="000000"/>
        </w:rPr>
        <w:t>第9行“五、集成电路关键专用材料或专用设备生产企业 □关键专用材料 □专用设备”：是指财税〔</w:t>
      </w:r>
      <w:r>
        <w:rPr>
          <w:color w:val="000000"/>
        </w:rPr>
        <w:t>2015</w:t>
      </w:r>
      <w:r>
        <w:rPr>
          <w:rFonts w:hint="eastAsia"/>
          <w:color w:val="000000"/>
        </w:rPr>
        <w:t>〕</w:t>
      </w:r>
      <w:r>
        <w:rPr>
          <w:color w:val="000000"/>
        </w:rPr>
        <w:t>6</w:t>
      </w:r>
      <w:r>
        <w:rPr>
          <w:rFonts w:hint="eastAsia"/>
          <w:color w:val="000000"/>
        </w:rPr>
        <w:t>号文件第一条规定的优惠政策，由符合条件的集成电路关键专用材料生产企业、集成电路专用设备生产企业填报。享受该项政策，须根据企业类型选择，集成电路关键专用材料生产企业选择“□关键专用材料”，集成电路专用设备生产企业选择“□专用设备”。</w:t>
      </w:r>
    </w:p>
    <w:p>
      <w:pPr>
        <w:pStyle w:val="9"/>
        <w:rPr>
          <w:color w:val="000000"/>
        </w:rPr>
      </w:pPr>
      <w:r>
        <w:rPr>
          <w:rFonts w:hint="eastAsia"/>
          <w:color w:val="000000"/>
        </w:rPr>
        <w:t>7</w:t>
      </w:r>
      <w:r>
        <w:rPr>
          <w:color w:val="000000"/>
        </w:rPr>
        <w:t>.</w:t>
      </w:r>
      <w:r>
        <w:rPr>
          <w:rFonts w:hint="eastAsia"/>
          <w:color w:val="000000"/>
        </w:rPr>
        <w:t>第</w:t>
      </w:r>
      <w:r>
        <w:rPr>
          <w:color w:val="000000"/>
        </w:rPr>
        <w:t>10</w:t>
      </w:r>
      <w:r>
        <w:rPr>
          <w:rFonts w:hint="eastAsia"/>
          <w:color w:val="000000"/>
        </w:rPr>
        <w:t>行“获利年度</w:t>
      </w:r>
      <w:r>
        <w:rPr>
          <w:color w:val="000000"/>
        </w:rPr>
        <w:t>/</w:t>
      </w:r>
      <w:r>
        <w:rPr>
          <w:rFonts w:hint="eastAsia"/>
          <w:color w:val="000000"/>
        </w:rPr>
        <w:t>开始计算优惠期年度”：由选择“二免三减半”“五免五减半”两类定期减免类型的企业填报，填报开始计算优惠期的年度。</w:t>
      </w:r>
    </w:p>
    <w:p>
      <w:pPr>
        <w:pStyle w:val="12"/>
      </w:pPr>
      <w:r>
        <w:rPr>
          <w:rFonts w:hint="eastAsia"/>
        </w:rPr>
        <w:t>（二）关键指标情况</w:t>
      </w:r>
    </w:p>
    <w:p>
      <w:pPr>
        <w:pStyle w:val="9"/>
        <w:rPr>
          <w:color w:val="000000"/>
        </w:rPr>
      </w:pPr>
      <w:r>
        <w:rPr>
          <w:rFonts w:hint="eastAsia"/>
          <w:color w:val="000000"/>
        </w:rPr>
        <w:t>填报企业享受政策的有关指标，具体如下：</w:t>
      </w:r>
    </w:p>
    <w:p>
      <w:pPr>
        <w:pStyle w:val="9"/>
        <w:rPr>
          <w:color w:val="000000"/>
        </w:rPr>
      </w:pPr>
      <w:r>
        <w:rPr>
          <w:rFonts w:hint="eastAsia"/>
          <w:color w:val="000000"/>
        </w:rPr>
        <w:t>第11行至第22行：享受本表任意优惠政策的企业均需填报。</w:t>
      </w:r>
    </w:p>
    <w:p>
      <w:pPr>
        <w:pStyle w:val="9"/>
        <w:rPr>
          <w:color w:val="000000"/>
        </w:rPr>
      </w:pPr>
      <w:r>
        <w:rPr>
          <w:rFonts w:hint="eastAsia"/>
          <w:color w:val="000000"/>
        </w:rPr>
        <w:t>第23行至第</w:t>
      </w:r>
      <w:r>
        <w:rPr>
          <w:color w:val="000000"/>
        </w:rPr>
        <w:t>24</w:t>
      </w:r>
      <w:r>
        <w:rPr>
          <w:rFonts w:hint="eastAsia"/>
          <w:color w:val="000000"/>
        </w:rPr>
        <w:t>行：由软件、集成电路设计企业填报，包括国家规划布局内的重点软件企业和重点集成电路设计企业（即单选本表第4行至第</w:t>
      </w:r>
      <w:r>
        <w:rPr>
          <w:color w:val="000000"/>
        </w:rPr>
        <w:t>7</w:t>
      </w:r>
      <w:r>
        <w:rPr>
          <w:rFonts w:hint="eastAsia"/>
          <w:color w:val="000000"/>
        </w:rPr>
        <w:t>行中减免类型的企业）填报。</w:t>
      </w:r>
    </w:p>
    <w:p>
      <w:pPr>
        <w:pStyle w:val="9"/>
        <w:rPr>
          <w:color w:val="000000"/>
        </w:rPr>
      </w:pPr>
      <w:r>
        <w:rPr>
          <w:rFonts w:hint="eastAsia"/>
          <w:color w:val="000000"/>
        </w:rPr>
        <w:t>第2</w:t>
      </w:r>
      <w:r>
        <w:rPr>
          <w:color w:val="000000"/>
        </w:rPr>
        <w:t>5</w:t>
      </w:r>
      <w:r>
        <w:rPr>
          <w:rFonts w:hint="eastAsia"/>
          <w:color w:val="000000"/>
        </w:rPr>
        <w:t>行至第</w:t>
      </w:r>
      <w:r>
        <w:rPr>
          <w:color w:val="000000"/>
        </w:rPr>
        <w:t>27</w:t>
      </w:r>
      <w:r>
        <w:rPr>
          <w:rFonts w:hint="eastAsia"/>
          <w:color w:val="000000"/>
        </w:rPr>
        <w:t>行：由国家规划布局内的重点软件企业、重点集成电路企业中，适用符合领域条件的企业（即单选本表第5行、第7行减免类型，且重点企业选择“领域”的企业）填报。</w:t>
      </w:r>
    </w:p>
    <w:p>
      <w:pPr>
        <w:pStyle w:val="9"/>
        <w:rPr>
          <w:color w:val="000000"/>
        </w:rPr>
      </w:pPr>
      <w:r>
        <w:rPr>
          <w:rFonts w:hint="eastAsia"/>
          <w:color w:val="000000"/>
        </w:rPr>
        <w:t>第2</w:t>
      </w:r>
      <w:r>
        <w:rPr>
          <w:color w:val="000000"/>
        </w:rPr>
        <w:t>8</w:t>
      </w:r>
      <w:r>
        <w:rPr>
          <w:rFonts w:hint="eastAsia"/>
          <w:color w:val="000000"/>
        </w:rPr>
        <w:t>行至第</w:t>
      </w:r>
      <w:r>
        <w:rPr>
          <w:color w:val="000000"/>
        </w:rPr>
        <w:t>30</w:t>
      </w:r>
      <w:r>
        <w:rPr>
          <w:rFonts w:hint="eastAsia"/>
          <w:color w:val="000000"/>
        </w:rPr>
        <w:t>行：由国家规划布局内的重点软件企业中，适用符合出口条件的企业（即单选本表第7行减免类型，且重点企业选择“出口”的企业）填报。</w:t>
      </w:r>
    </w:p>
    <w:p>
      <w:pPr>
        <w:pStyle w:val="9"/>
        <w:rPr>
          <w:color w:val="000000"/>
        </w:rPr>
      </w:pPr>
      <w:r>
        <w:rPr>
          <w:rFonts w:hint="eastAsia"/>
          <w:color w:val="000000"/>
        </w:rPr>
        <w:t>第31行：由集成电路关键专用材料或专用设备生产企业（</w:t>
      </w:r>
      <w:bookmarkStart w:id="129" w:name="_Hlk496799073"/>
      <w:r>
        <w:rPr>
          <w:rFonts w:hint="eastAsia"/>
          <w:color w:val="000000"/>
        </w:rPr>
        <w:t>即单选本表第9行减免类型</w:t>
      </w:r>
      <w:bookmarkEnd w:id="129"/>
      <w:r>
        <w:rPr>
          <w:rFonts w:hint="eastAsia"/>
          <w:color w:val="000000"/>
        </w:rPr>
        <w:t>）填报。</w:t>
      </w:r>
    </w:p>
    <w:p>
      <w:pPr>
        <w:pStyle w:val="9"/>
        <w:rPr>
          <w:color w:val="000000"/>
        </w:rPr>
      </w:pPr>
      <w:r>
        <w:rPr>
          <w:color w:val="000000"/>
        </w:rPr>
        <w:t>1.</w:t>
      </w:r>
      <w:r>
        <w:rPr>
          <w:rFonts w:hint="eastAsia"/>
          <w:color w:val="000000"/>
        </w:rPr>
        <w:t>第</w:t>
      </w:r>
      <w:r>
        <w:rPr>
          <w:color w:val="000000"/>
        </w:rPr>
        <w:t>11</w:t>
      </w:r>
      <w:r>
        <w:rPr>
          <w:rFonts w:hint="eastAsia"/>
          <w:color w:val="000000"/>
        </w:rPr>
        <w:t>行“一、企业本年月平均职工总人数”：填报企业本年月平均职工总人数。本年月平均职工总人数计算方法：</w:t>
      </w:r>
    </w:p>
    <w:p>
      <w:pPr>
        <w:pStyle w:val="9"/>
        <w:rPr>
          <w:color w:val="000000"/>
        </w:rPr>
      </w:pPr>
      <w:r>
        <w:rPr>
          <w:rFonts w:hint="eastAsia"/>
          <w:color w:val="000000"/>
        </w:rPr>
        <w:t>月平均人数</w:t>
      </w:r>
      <w:r>
        <w:rPr>
          <w:color w:val="000000"/>
        </w:rPr>
        <w:t>＝</w:t>
      </w:r>
      <w:r>
        <w:rPr>
          <w:rFonts w:hint="eastAsia"/>
          <w:color w:val="000000"/>
        </w:rPr>
        <w:t>（月初数</w:t>
      </w:r>
      <w:r>
        <w:rPr>
          <w:color w:val="000000"/>
        </w:rPr>
        <w:t>+</w:t>
      </w:r>
      <w:r>
        <w:rPr>
          <w:rFonts w:hint="eastAsia"/>
          <w:color w:val="000000"/>
        </w:rPr>
        <w:t>月末数）÷</w:t>
      </w:r>
      <w:r>
        <w:rPr>
          <w:color w:val="000000"/>
        </w:rPr>
        <w:t>2</w:t>
      </w:r>
    </w:p>
    <w:p>
      <w:pPr>
        <w:pStyle w:val="9"/>
        <w:rPr>
          <w:color w:val="000000"/>
        </w:rPr>
      </w:pPr>
      <w:r>
        <w:rPr>
          <w:rFonts w:hint="eastAsia"/>
          <w:color w:val="000000"/>
        </w:rPr>
        <w:t>全年月平均职工总人数</w:t>
      </w:r>
      <w:r>
        <w:rPr>
          <w:color w:val="000000"/>
        </w:rPr>
        <w:t>＝</w:t>
      </w:r>
      <w:r>
        <w:rPr>
          <w:rFonts w:hint="eastAsia"/>
          <w:color w:val="000000"/>
        </w:rPr>
        <w:t>全年各月平均数之和÷</w:t>
      </w:r>
      <w:r>
        <w:rPr>
          <w:color w:val="000000"/>
        </w:rPr>
        <w:t>12</w:t>
      </w:r>
    </w:p>
    <w:p>
      <w:pPr>
        <w:pStyle w:val="9"/>
        <w:rPr>
          <w:color w:val="000000"/>
        </w:rPr>
      </w:pPr>
      <w:r>
        <w:rPr>
          <w:color w:val="000000"/>
        </w:rPr>
        <w:t>2.</w:t>
      </w:r>
      <w:r>
        <w:rPr>
          <w:rFonts w:hint="eastAsia"/>
          <w:color w:val="000000"/>
        </w:rPr>
        <w:t>第</w:t>
      </w:r>
      <w:r>
        <w:rPr>
          <w:color w:val="000000"/>
        </w:rPr>
        <w:t>12</w:t>
      </w:r>
      <w:r>
        <w:rPr>
          <w:rFonts w:hint="eastAsia"/>
          <w:color w:val="000000"/>
        </w:rPr>
        <w:t>行“其中：签订劳动合同关系且具有大学专科以上学历的职工人数”：填报纳税人本年签订劳动合同关系且具有大学专科以上学历的职工人数。</w:t>
      </w:r>
    </w:p>
    <w:p>
      <w:pPr>
        <w:pStyle w:val="9"/>
        <w:rPr>
          <w:color w:val="000000"/>
        </w:rPr>
      </w:pPr>
      <w:r>
        <w:rPr>
          <w:color w:val="000000"/>
        </w:rPr>
        <w:t>3.</w:t>
      </w:r>
      <w:r>
        <w:rPr>
          <w:rFonts w:hint="eastAsia"/>
          <w:color w:val="000000"/>
        </w:rPr>
        <w:t>第</w:t>
      </w:r>
      <w:r>
        <w:rPr>
          <w:color w:val="000000"/>
        </w:rPr>
        <w:t>13</w:t>
      </w:r>
      <w:r>
        <w:rPr>
          <w:rFonts w:hint="eastAsia"/>
          <w:color w:val="000000"/>
        </w:rPr>
        <w:t>行“研究开发人员人数”：填报纳税人本年研究开发人员人数。</w:t>
      </w:r>
    </w:p>
    <w:p>
      <w:pPr>
        <w:pStyle w:val="9"/>
        <w:rPr>
          <w:color w:val="000000"/>
        </w:rPr>
      </w:pPr>
      <w:r>
        <w:rPr>
          <w:color w:val="000000"/>
        </w:rPr>
        <w:t>4.</w:t>
      </w:r>
      <w:r>
        <w:rPr>
          <w:rFonts w:hint="eastAsia"/>
          <w:color w:val="000000"/>
        </w:rPr>
        <w:t>第</w:t>
      </w:r>
      <w:r>
        <w:rPr>
          <w:color w:val="000000"/>
        </w:rPr>
        <w:t>14</w:t>
      </w:r>
      <w:r>
        <w:rPr>
          <w:rFonts w:hint="eastAsia"/>
          <w:color w:val="000000"/>
        </w:rPr>
        <w:t>行“二、大学专科以上职工占企业本年月平均职工总人数的比例”：填报第</w:t>
      </w:r>
      <w:r>
        <w:rPr>
          <w:color w:val="000000"/>
        </w:rPr>
        <w:t>12</w:t>
      </w:r>
      <w:r>
        <w:rPr>
          <w:rFonts w:hint="eastAsia"/>
          <w:color w:val="000000"/>
        </w:rPr>
        <w:t>÷</w:t>
      </w:r>
      <w:r>
        <w:rPr>
          <w:color w:val="000000"/>
        </w:rPr>
        <w:t>11</w:t>
      </w:r>
      <w:r>
        <w:rPr>
          <w:rFonts w:hint="eastAsia"/>
          <w:color w:val="000000"/>
        </w:rPr>
        <w:t>行计算后的比例。</w:t>
      </w:r>
    </w:p>
    <w:p>
      <w:pPr>
        <w:pStyle w:val="9"/>
        <w:rPr>
          <w:color w:val="000000"/>
        </w:rPr>
      </w:pPr>
      <w:r>
        <w:rPr>
          <w:color w:val="000000"/>
        </w:rPr>
        <w:t>5.</w:t>
      </w:r>
      <w:r>
        <w:rPr>
          <w:rFonts w:hint="eastAsia"/>
          <w:color w:val="000000"/>
        </w:rPr>
        <w:t>第</w:t>
      </w:r>
      <w:r>
        <w:rPr>
          <w:color w:val="000000"/>
        </w:rPr>
        <w:t>15</w:t>
      </w:r>
      <w:r>
        <w:rPr>
          <w:rFonts w:hint="eastAsia"/>
          <w:color w:val="000000"/>
        </w:rPr>
        <w:t>行“三、研究开发人员占企业本年月平均职工总人数的比例”：填报第</w:t>
      </w:r>
      <w:r>
        <w:rPr>
          <w:color w:val="000000"/>
        </w:rPr>
        <w:t>13</w:t>
      </w:r>
      <w:r>
        <w:rPr>
          <w:rFonts w:hint="eastAsia"/>
          <w:color w:val="000000"/>
        </w:rPr>
        <w:t>÷</w:t>
      </w:r>
      <w:r>
        <w:rPr>
          <w:color w:val="000000"/>
        </w:rPr>
        <w:t>11</w:t>
      </w:r>
      <w:r>
        <w:rPr>
          <w:rFonts w:hint="eastAsia"/>
          <w:color w:val="000000"/>
        </w:rPr>
        <w:t>行计算后的比例。</w:t>
      </w:r>
    </w:p>
    <w:p>
      <w:pPr>
        <w:pStyle w:val="9"/>
        <w:rPr>
          <w:color w:val="000000"/>
        </w:rPr>
      </w:pPr>
      <w:r>
        <w:rPr>
          <w:color w:val="000000"/>
        </w:rPr>
        <w:t>6.</w:t>
      </w:r>
      <w:r>
        <w:rPr>
          <w:rFonts w:hint="eastAsia"/>
          <w:color w:val="000000"/>
        </w:rPr>
        <w:t>第</w:t>
      </w:r>
      <w:r>
        <w:rPr>
          <w:color w:val="000000"/>
        </w:rPr>
        <w:t>16</w:t>
      </w:r>
      <w:r>
        <w:rPr>
          <w:rFonts w:hint="eastAsia"/>
          <w:color w:val="000000"/>
        </w:rPr>
        <w:t>行“四、研发费用总额”：填报企业按照《财政部</w:t>
      </w:r>
      <w:r>
        <w:rPr>
          <w:color w:val="000000"/>
        </w:rPr>
        <w:t xml:space="preserve"> </w:t>
      </w:r>
      <w:r>
        <w:rPr>
          <w:rFonts w:hint="eastAsia"/>
          <w:color w:val="000000"/>
        </w:rPr>
        <w:t>国家税务总局</w:t>
      </w:r>
      <w:r>
        <w:rPr>
          <w:color w:val="000000"/>
        </w:rPr>
        <w:t xml:space="preserve"> </w:t>
      </w:r>
      <w:r>
        <w:rPr>
          <w:rFonts w:hint="eastAsia"/>
          <w:color w:val="000000"/>
        </w:rPr>
        <w:t>科技部关于完善研发费用税前加计扣除政策的通知》（财税〔</w:t>
      </w:r>
      <w:r>
        <w:rPr>
          <w:color w:val="000000"/>
        </w:rPr>
        <w:t>2015</w:t>
      </w:r>
      <w:r>
        <w:rPr>
          <w:rFonts w:hint="eastAsia"/>
          <w:color w:val="000000"/>
        </w:rPr>
        <w:t>〕</w:t>
      </w:r>
      <w:r>
        <w:rPr>
          <w:color w:val="000000"/>
        </w:rPr>
        <w:t>119</w:t>
      </w:r>
      <w:r>
        <w:rPr>
          <w:rFonts w:hint="eastAsia"/>
          <w:color w:val="000000"/>
        </w:rPr>
        <w:t>号）口径归集的研发费用总额。</w:t>
      </w:r>
    </w:p>
    <w:p>
      <w:pPr>
        <w:pStyle w:val="9"/>
        <w:rPr>
          <w:color w:val="000000"/>
        </w:rPr>
      </w:pPr>
      <w:r>
        <w:rPr>
          <w:color w:val="000000"/>
        </w:rPr>
        <w:t>7.</w:t>
      </w:r>
      <w:r>
        <w:rPr>
          <w:rFonts w:hint="eastAsia"/>
          <w:color w:val="000000"/>
        </w:rPr>
        <w:t>第</w:t>
      </w:r>
      <w:r>
        <w:rPr>
          <w:color w:val="000000"/>
        </w:rPr>
        <w:t>17</w:t>
      </w:r>
      <w:r>
        <w:rPr>
          <w:rFonts w:hint="eastAsia"/>
          <w:color w:val="000000"/>
        </w:rPr>
        <w:t>行“其中：企业在中国境内发生的研发费用金额”：填报纳税人本年在中国境内发生的研发费用金额。</w:t>
      </w:r>
    </w:p>
    <w:p>
      <w:pPr>
        <w:pStyle w:val="9"/>
        <w:rPr>
          <w:color w:val="000000"/>
        </w:rPr>
      </w:pPr>
      <w:r>
        <w:rPr>
          <w:color w:val="000000"/>
        </w:rPr>
        <w:t>8.</w:t>
      </w:r>
      <w:r>
        <w:rPr>
          <w:rFonts w:hint="eastAsia"/>
          <w:color w:val="000000"/>
        </w:rPr>
        <w:t>第</w:t>
      </w:r>
      <w:r>
        <w:rPr>
          <w:color w:val="000000"/>
        </w:rPr>
        <w:t>18</w:t>
      </w:r>
      <w:r>
        <w:rPr>
          <w:rFonts w:hint="eastAsia"/>
          <w:color w:val="000000"/>
        </w:rPr>
        <w:t>行“五、研发费用占销售（营业）收入的比例”：填报研发费用占销售（营业）收入的比例，即本表第</w:t>
      </w:r>
      <w:r>
        <w:rPr>
          <w:color w:val="000000"/>
        </w:rPr>
        <w:t>16</w:t>
      </w:r>
      <w:r>
        <w:rPr>
          <w:rFonts w:hint="eastAsia"/>
          <w:color w:val="000000"/>
        </w:rPr>
        <w:t>行÷表A101010第1行。</w:t>
      </w:r>
    </w:p>
    <w:p>
      <w:pPr>
        <w:pStyle w:val="9"/>
        <w:rPr>
          <w:color w:val="000000"/>
        </w:rPr>
      </w:pPr>
      <w:r>
        <w:rPr>
          <w:color w:val="000000"/>
        </w:rPr>
        <w:t>9</w:t>
      </w:r>
      <w:r>
        <w:rPr>
          <w:rFonts w:cs="宋体"/>
          <w:color w:val="000000"/>
        </w:rPr>
        <w:t>.</w:t>
      </w:r>
      <w:r>
        <w:rPr>
          <w:rFonts w:hint="eastAsia"/>
          <w:color w:val="000000"/>
        </w:rPr>
        <w:t>第</w:t>
      </w:r>
      <w:r>
        <w:rPr>
          <w:color w:val="000000"/>
        </w:rPr>
        <w:t>19</w:t>
      </w:r>
      <w:r>
        <w:rPr>
          <w:rFonts w:hint="eastAsia"/>
          <w:color w:val="000000"/>
        </w:rPr>
        <w:t>行“六、境内研发费用占研发费用总额的比例”：填报第</w:t>
      </w:r>
      <w:r>
        <w:rPr>
          <w:color w:val="000000"/>
        </w:rPr>
        <w:t>17</w:t>
      </w:r>
      <w:r>
        <w:rPr>
          <w:rFonts w:hint="eastAsia"/>
          <w:color w:val="000000"/>
        </w:rPr>
        <w:t>÷</w:t>
      </w:r>
      <w:r>
        <w:rPr>
          <w:color w:val="000000"/>
        </w:rPr>
        <w:t>16</w:t>
      </w:r>
      <w:r>
        <w:rPr>
          <w:rFonts w:hint="eastAsia"/>
          <w:color w:val="000000"/>
        </w:rPr>
        <w:t>行计算后的比例。</w:t>
      </w:r>
    </w:p>
    <w:p>
      <w:pPr>
        <w:pStyle w:val="9"/>
        <w:rPr>
          <w:color w:val="000000"/>
        </w:rPr>
      </w:pPr>
      <w:r>
        <w:rPr>
          <w:color w:val="000000"/>
        </w:rPr>
        <w:t>10</w:t>
      </w:r>
      <w:r>
        <w:rPr>
          <w:rFonts w:cs="宋体"/>
          <w:color w:val="000000"/>
        </w:rPr>
        <w:t>.</w:t>
      </w:r>
      <w:r>
        <w:rPr>
          <w:rFonts w:hint="eastAsia"/>
          <w:color w:val="000000"/>
        </w:rPr>
        <w:t>第</w:t>
      </w:r>
      <w:r>
        <w:rPr>
          <w:color w:val="000000"/>
        </w:rPr>
        <w:t>20</w:t>
      </w:r>
      <w:r>
        <w:rPr>
          <w:rFonts w:hint="eastAsia"/>
          <w:color w:val="000000"/>
        </w:rPr>
        <w:t>行“七、企业收入总额”：填报纳税人本年以货币形式和非货币形式从各种来源取得的收入，为税法第六条规定的收入总额。包括：销售货物收入，提供劳务收入，转让财产收入，股息、红利等权益性投资收益，利息收入，租金收入，特许权使用费收入，接受捐赠收入，其他收入。</w:t>
      </w:r>
    </w:p>
    <w:p>
      <w:pPr>
        <w:pStyle w:val="9"/>
        <w:rPr>
          <w:color w:val="000000"/>
        </w:rPr>
      </w:pPr>
      <w:r>
        <w:rPr>
          <w:color w:val="000000"/>
        </w:rPr>
        <w:t>11.</w:t>
      </w:r>
      <w:r>
        <w:rPr>
          <w:rFonts w:hint="eastAsia"/>
          <w:color w:val="000000"/>
        </w:rPr>
        <w:t>第21行“八、符合条件的销售（营业）收入”：根据企业类型分析填报，享受不同政策本行所填数据含义不同：</w:t>
      </w:r>
    </w:p>
    <w:p>
      <w:pPr>
        <w:pStyle w:val="9"/>
        <w:rPr>
          <w:color w:val="000000"/>
        </w:rPr>
      </w:pPr>
      <w:r>
        <w:rPr>
          <w:rFonts w:hint="eastAsia"/>
          <w:color w:val="000000"/>
        </w:rPr>
        <w:t>（</w:t>
      </w:r>
      <w:r>
        <w:rPr>
          <w:color w:val="000000"/>
        </w:rPr>
        <w:t>1</w:t>
      </w:r>
      <w:r>
        <w:rPr>
          <w:rFonts w:hint="eastAsia"/>
          <w:color w:val="000000"/>
        </w:rPr>
        <w:t>）集成电路生产企业：本行填报本年度集成电路制造销售（营业）收入；</w:t>
      </w:r>
    </w:p>
    <w:p>
      <w:pPr>
        <w:pStyle w:val="9"/>
        <w:rPr>
          <w:color w:val="000000"/>
        </w:rPr>
      </w:pPr>
      <w:r>
        <w:rPr>
          <w:rFonts w:hint="eastAsia"/>
          <w:color w:val="000000"/>
        </w:rPr>
        <w:t>（</w:t>
      </w:r>
      <w:r>
        <w:rPr>
          <w:color w:val="000000"/>
        </w:rPr>
        <w:t>2</w:t>
      </w:r>
      <w:r>
        <w:rPr>
          <w:rFonts w:hint="eastAsia"/>
          <w:color w:val="000000"/>
        </w:rPr>
        <w:t>）集成电路设计企业：本行填报本年度集成电路设计销售（营业）收入；</w:t>
      </w:r>
    </w:p>
    <w:p>
      <w:pPr>
        <w:pStyle w:val="9"/>
        <w:rPr>
          <w:color w:val="000000"/>
        </w:rPr>
      </w:pPr>
      <w:r>
        <w:rPr>
          <w:rFonts w:hint="eastAsia"/>
          <w:color w:val="000000"/>
        </w:rPr>
        <w:t>（</w:t>
      </w:r>
      <w:r>
        <w:rPr>
          <w:color w:val="000000"/>
        </w:rPr>
        <w:t>3</w:t>
      </w:r>
      <w:r>
        <w:rPr>
          <w:rFonts w:hint="eastAsia"/>
          <w:color w:val="000000"/>
        </w:rPr>
        <w:t>）软件企业：选择“一般软件”的，本行填报本年软件产品开发销售（营业）收入；选择“嵌入式或信息系统集成软件”的，本行填报嵌入式软件产品和信息系统集成产品开发销售（营业）收入；</w:t>
      </w:r>
    </w:p>
    <w:p>
      <w:pPr>
        <w:pStyle w:val="9"/>
        <w:rPr>
          <w:color w:val="000000"/>
        </w:rPr>
      </w:pPr>
      <w:r>
        <w:rPr>
          <w:rFonts w:hint="eastAsia"/>
          <w:color w:val="000000"/>
        </w:rPr>
        <w:t>（</w:t>
      </w:r>
      <w:r>
        <w:rPr>
          <w:color w:val="000000"/>
        </w:rPr>
        <w:t>4</w:t>
      </w:r>
      <w:r>
        <w:rPr>
          <w:rFonts w:hint="eastAsia"/>
          <w:color w:val="000000"/>
        </w:rPr>
        <w:t>）集成电路封装、测试企业：本行填报本年集成电路封装、测试销售（营业）收入；</w:t>
      </w:r>
    </w:p>
    <w:p>
      <w:pPr>
        <w:pStyle w:val="9"/>
        <w:rPr>
          <w:color w:val="000000"/>
        </w:rPr>
      </w:pPr>
      <w:r>
        <w:rPr>
          <w:rFonts w:hint="eastAsia"/>
          <w:color w:val="000000"/>
        </w:rPr>
        <w:t>（</w:t>
      </w:r>
      <w:r>
        <w:rPr>
          <w:color w:val="000000"/>
        </w:rPr>
        <w:t>5</w:t>
      </w:r>
      <w:r>
        <w:rPr>
          <w:rFonts w:hint="eastAsia"/>
          <w:color w:val="000000"/>
        </w:rPr>
        <w:t>）集成电路关键专用材料生产企业：本行填报本年集成电路关键专用材料销售（营业）收入；</w:t>
      </w:r>
    </w:p>
    <w:p>
      <w:pPr>
        <w:pStyle w:val="9"/>
        <w:rPr>
          <w:color w:val="000000"/>
        </w:rPr>
      </w:pPr>
      <w:r>
        <w:rPr>
          <w:rFonts w:hint="eastAsia"/>
          <w:color w:val="000000"/>
        </w:rPr>
        <w:t>（</w:t>
      </w:r>
      <w:r>
        <w:rPr>
          <w:color w:val="000000"/>
        </w:rPr>
        <w:t>6</w:t>
      </w:r>
      <w:r>
        <w:rPr>
          <w:rFonts w:hint="eastAsia"/>
          <w:color w:val="000000"/>
        </w:rPr>
        <w:t>）集成电路专用设备生产企业：行填报本年集成电路专用设备销售（营业）收入。</w:t>
      </w:r>
    </w:p>
    <w:p>
      <w:pPr>
        <w:pStyle w:val="9"/>
        <w:rPr>
          <w:color w:val="000000"/>
        </w:rPr>
      </w:pPr>
      <w:r>
        <w:rPr>
          <w:color w:val="000000"/>
        </w:rPr>
        <w:t>12.</w:t>
      </w:r>
      <w:r>
        <w:rPr>
          <w:rFonts w:hint="eastAsia"/>
          <w:color w:val="000000"/>
        </w:rPr>
        <w:t>第</w:t>
      </w:r>
      <w:r>
        <w:rPr>
          <w:color w:val="000000"/>
        </w:rPr>
        <w:t>22</w:t>
      </w:r>
      <w:r>
        <w:rPr>
          <w:rFonts w:hint="eastAsia"/>
          <w:color w:val="000000"/>
        </w:rPr>
        <w:t>行“九、符合条件的收入占收入总额的比例”：填报第</w:t>
      </w:r>
      <w:r>
        <w:rPr>
          <w:color w:val="000000"/>
        </w:rPr>
        <w:t>21</w:t>
      </w:r>
      <w:r>
        <w:rPr>
          <w:rFonts w:hint="eastAsia"/>
          <w:color w:val="000000"/>
        </w:rPr>
        <w:t>÷</w:t>
      </w:r>
      <w:r>
        <w:rPr>
          <w:color w:val="000000"/>
        </w:rPr>
        <w:t>20</w:t>
      </w:r>
      <w:r>
        <w:rPr>
          <w:rFonts w:hint="eastAsia"/>
          <w:color w:val="000000"/>
        </w:rPr>
        <w:t>行计算后的比例。</w:t>
      </w:r>
    </w:p>
    <w:p>
      <w:pPr>
        <w:pStyle w:val="9"/>
        <w:rPr>
          <w:color w:val="000000"/>
        </w:rPr>
      </w:pPr>
      <w:r>
        <w:rPr>
          <w:color w:val="000000"/>
        </w:rPr>
        <w:t>13.</w:t>
      </w:r>
      <w:r>
        <w:rPr>
          <w:rFonts w:hint="eastAsia"/>
          <w:color w:val="000000"/>
        </w:rPr>
        <w:t>第</w:t>
      </w:r>
      <w:r>
        <w:rPr>
          <w:color w:val="000000"/>
        </w:rPr>
        <w:t>23</w:t>
      </w:r>
      <w:r>
        <w:rPr>
          <w:rFonts w:hint="eastAsia"/>
          <w:color w:val="000000"/>
        </w:rPr>
        <w:t>行“（一）自主设计</w:t>
      </w:r>
      <w:r>
        <w:rPr>
          <w:color w:val="000000"/>
        </w:rPr>
        <w:t>/</w:t>
      </w:r>
      <w:r>
        <w:rPr>
          <w:rFonts w:hint="eastAsia"/>
          <w:color w:val="000000"/>
        </w:rPr>
        <w:t>开发销售（营业）收入”：</w:t>
      </w:r>
    </w:p>
    <w:p>
      <w:pPr>
        <w:pStyle w:val="9"/>
        <w:rPr>
          <w:color w:val="000000"/>
        </w:rPr>
      </w:pPr>
      <w:r>
        <w:rPr>
          <w:rFonts w:hint="eastAsia"/>
          <w:color w:val="000000"/>
        </w:rPr>
        <w:t>集成电路设计企业，本行填报本年度集成电路自主设计销售（营业）收入。</w:t>
      </w:r>
    </w:p>
    <w:p>
      <w:pPr>
        <w:pStyle w:val="9"/>
        <w:rPr>
          <w:color w:val="000000"/>
        </w:rPr>
      </w:pPr>
      <w:r>
        <w:rPr>
          <w:rFonts w:hint="eastAsia"/>
          <w:color w:val="000000"/>
        </w:rPr>
        <w:t>软件企业，选“一般软件”的填报本年软件产品自主开发销售（营业）收入，选“嵌入式或信息系统集成软件”的填报本年自主开发嵌入式软件产品和信息系统集成产品开发销售（营业）收入。</w:t>
      </w:r>
    </w:p>
    <w:p>
      <w:pPr>
        <w:pStyle w:val="9"/>
        <w:rPr>
          <w:color w:val="000000"/>
        </w:rPr>
      </w:pPr>
      <w:r>
        <w:rPr>
          <w:rFonts w:hint="eastAsia"/>
          <w:color w:val="000000"/>
        </w:rPr>
        <w:t>14</w:t>
      </w:r>
      <w:r>
        <w:rPr>
          <w:color w:val="000000"/>
        </w:rPr>
        <w:t>.</w:t>
      </w:r>
      <w:r>
        <w:rPr>
          <w:rFonts w:hint="eastAsia"/>
          <w:color w:val="000000"/>
        </w:rPr>
        <w:t>第</w:t>
      </w:r>
      <w:r>
        <w:rPr>
          <w:color w:val="000000"/>
        </w:rPr>
        <w:t>24</w:t>
      </w:r>
      <w:r>
        <w:rPr>
          <w:rFonts w:hint="eastAsia"/>
          <w:color w:val="000000"/>
        </w:rPr>
        <w:t>行“（二）自主设计</w:t>
      </w:r>
      <w:r>
        <w:rPr>
          <w:color w:val="000000"/>
        </w:rPr>
        <w:t>/</w:t>
      </w:r>
      <w:r>
        <w:rPr>
          <w:rFonts w:hint="eastAsia"/>
          <w:color w:val="000000"/>
        </w:rPr>
        <w:t>开发收入占企业收入总额的比例”：填报第</w:t>
      </w:r>
      <w:r>
        <w:rPr>
          <w:color w:val="000000"/>
        </w:rPr>
        <w:t>23</w:t>
      </w:r>
      <w:r>
        <w:rPr>
          <w:rFonts w:hint="eastAsia"/>
          <w:color w:val="000000"/>
        </w:rPr>
        <w:t>÷</w:t>
      </w:r>
      <w:r>
        <w:rPr>
          <w:color w:val="000000"/>
        </w:rPr>
        <w:t>20</w:t>
      </w:r>
      <w:r>
        <w:rPr>
          <w:rFonts w:hint="eastAsia"/>
          <w:color w:val="000000"/>
        </w:rPr>
        <w:t>行计算后的比例。</w:t>
      </w:r>
    </w:p>
    <w:p>
      <w:pPr>
        <w:pStyle w:val="9"/>
        <w:rPr>
          <w:color w:val="000000"/>
        </w:rPr>
      </w:pPr>
      <w:r>
        <w:rPr>
          <w:color w:val="000000"/>
        </w:rPr>
        <w:t>15.</w:t>
      </w:r>
      <w:r>
        <w:rPr>
          <w:rFonts w:hint="eastAsia"/>
          <w:color w:val="000000"/>
        </w:rPr>
        <w:t>第</w:t>
      </w:r>
      <w:r>
        <w:rPr>
          <w:color w:val="000000"/>
        </w:rPr>
        <w:t>25</w:t>
      </w:r>
      <w:r>
        <w:rPr>
          <w:rFonts w:hint="eastAsia"/>
          <w:color w:val="000000"/>
        </w:rPr>
        <w:t>行“（一）适用的领域”：根据《国家发展和改革委员会</w:t>
      </w:r>
      <w:r>
        <w:rPr>
          <w:color w:val="000000"/>
        </w:rPr>
        <w:t xml:space="preserve"> </w:t>
      </w:r>
      <w:r>
        <w:rPr>
          <w:rFonts w:hint="eastAsia"/>
          <w:color w:val="000000"/>
        </w:rPr>
        <w:t>工业和信息化部</w:t>
      </w:r>
      <w:r>
        <w:rPr>
          <w:color w:val="000000"/>
        </w:rPr>
        <w:t xml:space="preserve"> </w:t>
      </w:r>
      <w:r>
        <w:rPr>
          <w:rFonts w:hint="eastAsia"/>
          <w:color w:val="000000"/>
        </w:rPr>
        <w:t>财政部</w:t>
      </w:r>
      <w:r>
        <w:rPr>
          <w:color w:val="000000"/>
        </w:rPr>
        <w:t xml:space="preserve"> </w:t>
      </w:r>
      <w:r>
        <w:rPr>
          <w:rFonts w:hint="eastAsia"/>
          <w:color w:val="000000"/>
        </w:rPr>
        <w:t>国家税务总局关于印发国家规划布局内重点软件和集成电路设计领域的通知》（发改高技〔</w:t>
      </w:r>
      <w:r>
        <w:rPr>
          <w:color w:val="000000"/>
        </w:rPr>
        <w:t>2016</w:t>
      </w:r>
      <w:r>
        <w:rPr>
          <w:rFonts w:hint="eastAsia"/>
          <w:color w:val="000000"/>
        </w:rPr>
        <w:t>〕</w:t>
      </w:r>
      <w:r>
        <w:rPr>
          <w:color w:val="000000"/>
        </w:rPr>
        <w:t>1056</w:t>
      </w:r>
      <w:r>
        <w:rPr>
          <w:rFonts w:hint="eastAsia"/>
          <w:color w:val="000000"/>
        </w:rPr>
        <w:t>号）文件，选择适用的领域。</w:t>
      </w:r>
    </w:p>
    <w:p>
      <w:pPr>
        <w:pStyle w:val="9"/>
        <w:rPr>
          <w:color w:val="000000"/>
        </w:rPr>
      </w:pPr>
      <w:r>
        <w:rPr>
          <w:color w:val="000000"/>
        </w:rPr>
        <w:t>16.</w:t>
      </w:r>
      <w:r>
        <w:rPr>
          <w:rFonts w:hint="eastAsia"/>
          <w:color w:val="000000"/>
        </w:rPr>
        <w:t>第</w:t>
      </w:r>
      <w:r>
        <w:rPr>
          <w:color w:val="000000"/>
        </w:rPr>
        <w:t>26</w:t>
      </w:r>
      <w:r>
        <w:rPr>
          <w:rFonts w:hint="eastAsia"/>
          <w:color w:val="000000"/>
        </w:rPr>
        <w:t>行“（二）选择备案领域的销售（营业）收入”：填报符合第</w:t>
      </w:r>
      <w:r>
        <w:rPr>
          <w:color w:val="000000"/>
        </w:rPr>
        <w:t>25</w:t>
      </w:r>
      <w:r>
        <w:rPr>
          <w:rFonts w:hint="eastAsia"/>
          <w:color w:val="000000"/>
        </w:rPr>
        <w:t>行选定“领域”内的销售（营业）收入。如选择领域为“（一）基础软件：操作系统、数据库、中间件”，则该行填报该业务的销售（营业）收入。</w:t>
      </w:r>
    </w:p>
    <w:p>
      <w:pPr>
        <w:pStyle w:val="9"/>
        <w:rPr>
          <w:color w:val="000000"/>
        </w:rPr>
      </w:pPr>
      <w:r>
        <w:rPr>
          <w:rFonts w:hint="eastAsia"/>
          <w:color w:val="000000"/>
        </w:rPr>
        <w:t>17.第</w:t>
      </w:r>
      <w:r>
        <w:rPr>
          <w:color w:val="000000"/>
        </w:rPr>
        <w:t>27</w:t>
      </w:r>
      <w:r>
        <w:rPr>
          <w:rFonts w:hint="eastAsia"/>
          <w:color w:val="000000"/>
        </w:rPr>
        <w:t>行“（三）领域内的销售收入占符合条件的销售收入的比例”：填报第</w:t>
      </w:r>
      <w:r>
        <w:rPr>
          <w:color w:val="000000"/>
        </w:rPr>
        <w:t>26</w:t>
      </w:r>
      <w:r>
        <w:rPr>
          <w:rFonts w:hint="eastAsia"/>
          <w:color w:val="000000"/>
        </w:rPr>
        <w:t>÷</w:t>
      </w:r>
      <w:r>
        <w:rPr>
          <w:color w:val="000000"/>
        </w:rPr>
        <w:t>21</w:t>
      </w:r>
      <w:r>
        <w:rPr>
          <w:rFonts w:hint="eastAsia"/>
          <w:color w:val="000000"/>
        </w:rPr>
        <w:t>行计算后的比例。</w:t>
      </w:r>
    </w:p>
    <w:p>
      <w:pPr>
        <w:pStyle w:val="9"/>
        <w:rPr>
          <w:color w:val="000000"/>
        </w:rPr>
      </w:pPr>
      <w:r>
        <w:rPr>
          <w:color w:val="000000"/>
        </w:rPr>
        <w:t>18.</w:t>
      </w:r>
      <w:r>
        <w:rPr>
          <w:rFonts w:hint="eastAsia"/>
          <w:color w:val="000000"/>
        </w:rPr>
        <w:t>第</w:t>
      </w:r>
      <w:r>
        <w:rPr>
          <w:color w:val="000000"/>
        </w:rPr>
        <w:t>28</w:t>
      </w:r>
      <w:r>
        <w:rPr>
          <w:rFonts w:hint="eastAsia"/>
          <w:color w:val="000000"/>
        </w:rPr>
        <w:t>行“（一）年度软件出口收入总额（美元）”：填报企业年度软件出口收入总额，以美元计算。</w:t>
      </w:r>
    </w:p>
    <w:p>
      <w:pPr>
        <w:pStyle w:val="9"/>
        <w:rPr>
          <w:color w:val="000000"/>
        </w:rPr>
      </w:pPr>
      <w:r>
        <w:rPr>
          <w:color w:val="000000"/>
        </w:rPr>
        <w:t>19.</w:t>
      </w:r>
      <w:r>
        <w:rPr>
          <w:rFonts w:hint="eastAsia"/>
          <w:color w:val="000000"/>
        </w:rPr>
        <w:t>第</w:t>
      </w:r>
      <w:r>
        <w:rPr>
          <w:color w:val="000000"/>
        </w:rPr>
        <w:t>29</w:t>
      </w:r>
      <w:r>
        <w:rPr>
          <w:rFonts w:hint="eastAsia"/>
          <w:color w:val="000000"/>
        </w:rPr>
        <w:t>行“（二）年度软件出口收入总额（人民币）”：填报企业年度软件出口收入总额，换算成人民币以后的金额。</w:t>
      </w:r>
    </w:p>
    <w:p>
      <w:pPr>
        <w:pStyle w:val="9"/>
        <w:rPr>
          <w:color w:val="000000"/>
        </w:rPr>
      </w:pPr>
      <w:r>
        <w:rPr>
          <w:color w:val="000000"/>
        </w:rPr>
        <w:t>20.</w:t>
      </w:r>
      <w:r>
        <w:rPr>
          <w:rFonts w:hint="eastAsia"/>
          <w:color w:val="000000"/>
        </w:rPr>
        <w:t>第</w:t>
      </w:r>
      <w:r>
        <w:rPr>
          <w:color w:val="000000"/>
        </w:rPr>
        <w:t>30</w:t>
      </w:r>
      <w:r>
        <w:rPr>
          <w:rFonts w:hint="eastAsia"/>
          <w:color w:val="000000"/>
        </w:rPr>
        <w:t>行“（三）软件出口收入总额占本企业年度收入总额的比例”：填报第</w:t>
      </w:r>
      <w:r>
        <w:rPr>
          <w:color w:val="000000"/>
        </w:rPr>
        <w:t>29</w:t>
      </w:r>
      <w:r>
        <w:rPr>
          <w:rFonts w:hint="eastAsia"/>
          <w:color w:val="000000"/>
        </w:rPr>
        <w:t>÷</w:t>
      </w:r>
      <w:r>
        <w:rPr>
          <w:color w:val="000000"/>
        </w:rPr>
        <w:t>20</w:t>
      </w:r>
      <w:r>
        <w:rPr>
          <w:rFonts w:hint="eastAsia"/>
          <w:color w:val="000000"/>
        </w:rPr>
        <w:t>行计算后的比例。</w:t>
      </w:r>
    </w:p>
    <w:p>
      <w:pPr>
        <w:pStyle w:val="9"/>
        <w:rPr>
          <w:color w:val="000000"/>
        </w:rPr>
      </w:pPr>
      <w:r>
        <w:rPr>
          <w:rFonts w:hint="eastAsia"/>
          <w:color w:val="000000"/>
        </w:rPr>
        <w:t>21.第</w:t>
      </w:r>
      <w:r>
        <w:rPr>
          <w:color w:val="000000"/>
        </w:rPr>
        <w:t>31</w:t>
      </w:r>
      <w:r>
        <w:rPr>
          <w:rFonts w:hint="eastAsia"/>
          <w:color w:val="000000"/>
        </w:rPr>
        <w:t>行“产品适用目录”：由集成电路关键专用材料或专用设备生产企业，即单选本表第9行减免类型的企业填报。目录见《财政部</w:t>
      </w:r>
      <w:r>
        <w:rPr>
          <w:color w:val="000000"/>
        </w:rPr>
        <w:t xml:space="preserve"> </w:t>
      </w:r>
      <w:r>
        <w:rPr>
          <w:rFonts w:hint="eastAsia"/>
          <w:color w:val="000000"/>
        </w:rPr>
        <w:t>国家税务总局</w:t>
      </w:r>
      <w:r>
        <w:rPr>
          <w:color w:val="000000"/>
        </w:rPr>
        <w:t xml:space="preserve"> </w:t>
      </w:r>
      <w:r>
        <w:rPr>
          <w:rFonts w:hint="eastAsia"/>
          <w:color w:val="000000"/>
        </w:rPr>
        <w:t>发展改革委</w:t>
      </w:r>
      <w:r>
        <w:rPr>
          <w:color w:val="000000"/>
        </w:rPr>
        <w:t xml:space="preserve"> </w:t>
      </w:r>
      <w:r>
        <w:rPr>
          <w:rFonts w:hint="eastAsia"/>
          <w:color w:val="000000"/>
        </w:rPr>
        <w:t>工业和信息化部关于进一步鼓励集成电路产业发展企业所得税政策的通知》（财税〔</w:t>
      </w:r>
      <w:r>
        <w:rPr>
          <w:color w:val="000000"/>
        </w:rPr>
        <w:t>2015</w:t>
      </w:r>
      <w:r>
        <w:rPr>
          <w:rFonts w:hint="eastAsia"/>
          <w:color w:val="000000"/>
        </w:rPr>
        <w:t>〕</w:t>
      </w:r>
      <w:r>
        <w:rPr>
          <w:color w:val="000000"/>
        </w:rPr>
        <w:t>6</w:t>
      </w:r>
      <w:r>
        <w:rPr>
          <w:rFonts w:hint="eastAsia"/>
          <w:color w:val="000000"/>
        </w:rPr>
        <w:t>号）文件。</w:t>
      </w:r>
    </w:p>
    <w:p>
      <w:pPr>
        <w:pStyle w:val="9"/>
        <w:rPr>
          <w:color w:val="000000"/>
        </w:rPr>
      </w:pPr>
      <w:r>
        <w:rPr>
          <w:color w:val="000000"/>
        </w:rPr>
        <w:t>2</w:t>
      </w:r>
      <w:r>
        <w:rPr>
          <w:rFonts w:hint="eastAsia"/>
          <w:color w:val="000000"/>
        </w:rPr>
        <w:t>2</w:t>
      </w:r>
      <w:r>
        <w:rPr>
          <w:color w:val="000000"/>
        </w:rPr>
        <w:t>.</w:t>
      </w:r>
      <w:r>
        <w:rPr>
          <w:rFonts w:hint="eastAsia"/>
          <w:color w:val="000000"/>
        </w:rPr>
        <w:t>第</w:t>
      </w:r>
      <w:r>
        <w:rPr>
          <w:color w:val="000000"/>
        </w:rPr>
        <w:t>32</w:t>
      </w:r>
      <w:r>
        <w:rPr>
          <w:rFonts w:hint="eastAsia"/>
          <w:color w:val="000000"/>
        </w:rPr>
        <w:t>行“减免税额”：填报本年享受集成电路、软件企业优惠的金额。</w:t>
      </w:r>
    </w:p>
    <w:p>
      <w:pPr>
        <w:pStyle w:val="11"/>
        <w:ind w:firstLine="482"/>
      </w:pPr>
      <w:bookmarkStart w:id="130" w:name="_Toc399770032"/>
      <w:bookmarkStart w:id="131" w:name="_Toc394434245"/>
      <w:r>
        <w:rPr>
          <w:rFonts w:hint="eastAsia"/>
        </w:rPr>
        <w:t>二、表内、表间关系</w:t>
      </w:r>
      <w:bookmarkEnd w:id="130"/>
      <w:bookmarkEnd w:id="131"/>
    </w:p>
    <w:p>
      <w:pPr>
        <w:pStyle w:val="12"/>
      </w:pPr>
      <w:r>
        <w:rPr>
          <w:rFonts w:hint="eastAsia"/>
        </w:rPr>
        <w:t>（一）表内关系</w:t>
      </w:r>
    </w:p>
    <w:p>
      <w:pPr>
        <w:pStyle w:val="9"/>
      </w:pPr>
      <w:r>
        <w:t>1.</w:t>
      </w:r>
      <w:r>
        <w:rPr>
          <w:rFonts w:hint="eastAsia"/>
        </w:rPr>
        <w:t>第</w:t>
      </w:r>
      <w:r>
        <w:t>14</w:t>
      </w:r>
      <w:r>
        <w:rPr>
          <w:rFonts w:hint="eastAsia"/>
        </w:rPr>
        <w:t>行＝第</w:t>
      </w:r>
      <w:r>
        <w:t>12</w:t>
      </w:r>
      <w:r>
        <w:rPr>
          <w:rFonts w:hint="eastAsia"/>
        </w:rPr>
        <w:t>÷</w:t>
      </w:r>
      <w:r>
        <w:t>11</w:t>
      </w:r>
      <w:r>
        <w:rPr>
          <w:rFonts w:hint="eastAsia"/>
        </w:rPr>
        <w:t>行。</w:t>
      </w:r>
    </w:p>
    <w:p>
      <w:pPr>
        <w:pStyle w:val="9"/>
      </w:pPr>
      <w:r>
        <w:t>2.</w:t>
      </w:r>
      <w:r>
        <w:rPr>
          <w:rFonts w:hint="eastAsia"/>
        </w:rPr>
        <w:t>第</w:t>
      </w:r>
      <w:r>
        <w:t>15</w:t>
      </w:r>
      <w:r>
        <w:rPr>
          <w:rFonts w:hint="eastAsia"/>
        </w:rPr>
        <w:t>行＝第</w:t>
      </w:r>
      <w:r>
        <w:t>13</w:t>
      </w:r>
      <w:r>
        <w:rPr>
          <w:rFonts w:hint="eastAsia"/>
        </w:rPr>
        <w:t>÷</w:t>
      </w:r>
      <w:r>
        <w:t>11</w:t>
      </w:r>
      <w:r>
        <w:rPr>
          <w:rFonts w:hint="eastAsia"/>
        </w:rPr>
        <w:t>行。</w:t>
      </w:r>
    </w:p>
    <w:p>
      <w:pPr>
        <w:pStyle w:val="9"/>
      </w:pPr>
      <w:r>
        <w:rPr>
          <w:rFonts w:hint="eastAsia"/>
        </w:rPr>
        <w:t>3</w:t>
      </w:r>
      <w:r>
        <w:t>.</w:t>
      </w:r>
      <w:r>
        <w:rPr>
          <w:rFonts w:hint="eastAsia"/>
        </w:rPr>
        <w:t>第</w:t>
      </w:r>
      <w:r>
        <w:t>19</w:t>
      </w:r>
      <w:r>
        <w:rPr>
          <w:rFonts w:hint="eastAsia"/>
        </w:rPr>
        <w:t>行＝第</w:t>
      </w:r>
      <w:r>
        <w:t>17</w:t>
      </w:r>
      <w:r>
        <w:rPr>
          <w:rFonts w:hint="eastAsia"/>
        </w:rPr>
        <w:t>÷</w:t>
      </w:r>
      <w:r>
        <w:t>16</w:t>
      </w:r>
      <w:r>
        <w:rPr>
          <w:rFonts w:hint="eastAsia"/>
        </w:rPr>
        <w:t>行。</w:t>
      </w:r>
    </w:p>
    <w:p>
      <w:pPr>
        <w:pStyle w:val="9"/>
      </w:pPr>
      <w:r>
        <w:rPr>
          <w:rFonts w:hint="eastAsia"/>
        </w:rPr>
        <w:t>4</w:t>
      </w:r>
      <w:r>
        <w:t>.</w:t>
      </w:r>
      <w:r>
        <w:rPr>
          <w:rFonts w:hint="eastAsia"/>
        </w:rPr>
        <w:t>第</w:t>
      </w:r>
      <w:r>
        <w:t>22</w:t>
      </w:r>
      <w:r>
        <w:rPr>
          <w:rFonts w:hint="eastAsia"/>
        </w:rPr>
        <w:t>行＝第</w:t>
      </w:r>
      <w:r>
        <w:t>21</w:t>
      </w:r>
      <w:r>
        <w:rPr>
          <w:rFonts w:hint="eastAsia"/>
        </w:rPr>
        <w:t>÷</w:t>
      </w:r>
      <w:r>
        <w:t>20</w:t>
      </w:r>
      <w:r>
        <w:rPr>
          <w:rFonts w:hint="eastAsia"/>
        </w:rPr>
        <w:t>行。</w:t>
      </w:r>
    </w:p>
    <w:p>
      <w:pPr>
        <w:pStyle w:val="9"/>
      </w:pPr>
      <w:r>
        <w:rPr>
          <w:rFonts w:hint="eastAsia"/>
        </w:rPr>
        <w:t>5</w:t>
      </w:r>
      <w:r>
        <w:t>.</w:t>
      </w:r>
      <w:r>
        <w:rPr>
          <w:rFonts w:hint="eastAsia"/>
        </w:rPr>
        <w:t>第</w:t>
      </w:r>
      <w:r>
        <w:t>24</w:t>
      </w:r>
      <w:r>
        <w:rPr>
          <w:rFonts w:hint="eastAsia"/>
        </w:rPr>
        <w:t>行＝第</w:t>
      </w:r>
      <w:r>
        <w:t>23</w:t>
      </w:r>
      <w:r>
        <w:rPr>
          <w:rFonts w:hint="eastAsia"/>
        </w:rPr>
        <w:t>÷</w:t>
      </w:r>
      <w:r>
        <w:t>20</w:t>
      </w:r>
      <w:r>
        <w:rPr>
          <w:rFonts w:hint="eastAsia"/>
        </w:rPr>
        <w:t>行。</w:t>
      </w:r>
    </w:p>
    <w:p>
      <w:pPr>
        <w:pStyle w:val="9"/>
      </w:pPr>
      <w:r>
        <w:rPr>
          <w:rFonts w:hint="eastAsia"/>
        </w:rPr>
        <w:t>6</w:t>
      </w:r>
      <w:r>
        <w:t>.</w:t>
      </w:r>
      <w:r>
        <w:rPr>
          <w:rFonts w:hint="eastAsia"/>
        </w:rPr>
        <w:t>第</w:t>
      </w:r>
      <w:r>
        <w:t>27</w:t>
      </w:r>
      <w:r>
        <w:rPr>
          <w:rFonts w:hint="eastAsia"/>
        </w:rPr>
        <w:t>行＝第</w:t>
      </w:r>
      <w:r>
        <w:t>26</w:t>
      </w:r>
      <w:r>
        <w:rPr>
          <w:rFonts w:hint="eastAsia"/>
        </w:rPr>
        <w:t>÷</w:t>
      </w:r>
      <w:r>
        <w:t>21</w:t>
      </w:r>
      <w:r>
        <w:rPr>
          <w:rFonts w:hint="eastAsia"/>
        </w:rPr>
        <w:t>行。</w:t>
      </w:r>
    </w:p>
    <w:p>
      <w:pPr>
        <w:pStyle w:val="9"/>
      </w:pPr>
      <w:r>
        <w:rPr>
          <w:rFonts w:hint="eastAsia"/>
        </w:rPr>
        <w:t>7</w:t>
      </w:r>
      <w:r>
        <w:t>.</w:t>
      </w:r>
      <w:r>
        <w:rPr>
          <w:rFonts w:hint="eastAsia"/>
        </w:rPr>
        <w:t>第</w:t>
      </w:r>
      <w:r>
        <w:t>30</w:t>
      </w:r>
      <w:r>
        <w:rPr>
          <w:rFonts w:hint="eastAsia"/>
        </w:rPr>
        <w:t>行＝第</w:t>
      </w:r>
      <w:r>
        <w:t>29</w:t>
      </w:r>
      <w:r>
        <w:rPr>
          <w:rFonts w:hint="eastAsia"/>
        </w:rPr>
        <w:t>÷</w:t>
      </w:r>
      <w:r>
        <w:t>20</w:t>
      </w:r>
      <w:r>
        <w:rPr>
          <w:rFonts w:hint="eastAsia"/>
        </w:rPr>
        <w:t>行。</w:t>
      </w:r>
    </w:p>
    <w:p>
      <w:pPr>
        <w:pStyle w:val="12"/>
      </w:pPr>
      <w:r>
        <w:rPr>
          <w:rFonts w:hint="eastAsia"/>
        </w:rPr>
        <w:t>（二）表间关系</w:t>
      </w:r>
    </w:p>
    <w:p>
      <w:pPr>
        <w:pStyle w:val="9"/>
        <w:rPr>
          <w:rFonts w:hint="eastAsia"/>
        </w:rPr>
      </w:pPr>
      <w:bookmarkStart w:id="132" w:name="_Hlk497639598"/>
      <w:r>
        <w:rPr>
          <w:rFonts w:hint="eastAsia"/>
        </w:rPr>
        <w:t>1.第18行＝第16行÷表A101010第1行。</w:t>
      </w:r>
    </w:p>
    <w:p>
      <w:pPr>
        <w:pStyle w:val="9"/>
        <w:rPr>
          <w:rFonts w:hint="eastAsia"/>
        </w:rPr>
      </w:pPr>
      <w:r>
        <w:rPr>
          <w:rFonts w:hint="eastAsia"/>
        </w:rPr>
        <w:t>2.第32行＝表A</w:t>
      </w:r>
      <w:r>
        <w:t>107040</w:t>
      </w:r>
      <w:r>
        <w:rPr>
          <w:rFonts w:hint="eastAsia"/>
        </w:rPr>
        <w:t>第6</w:t>
      </w:r>
      <w:r>
        <w:rPr>
          <w:rFonts w:hint="eastAsia"/>
          <w:color w:val="000000"/>
        </w:rPr>
        <w:t>行至第</w:t>
      </w:r>
      <w:r>
        <w:rPr>
          <w:rFonts w:hint="eastAsia"/>
        </w:rPr>
        <w:t>16行，根据以下规则判断填报：</w:t>
      </w:r>
    </w:p>
    <w:p>
      <w:pPr>
        <w:pStyle w:val="9"/>
      </w:pPr>
      <w:r>
        <w:rPr>
          <w:rFonts w:hint="eastAsia"/>
        </w:rPr>
        <w:t>若“减免方式”单选第1行，第32行＝表A</w:t>
      </w:r>
      <w:r>
        <w:t>107040</w:t>
      </w:r>
      <w:r>
        <w:rPr>
          <w:rFonts w:hint="eastAsia"/>
        </w:rPr>
        <w:t>第6行；</w:t>
      </w:r>
    </w:p>
    <w:p>
      <w:pPr>
        <w:pStyle w:val="9"/>
      </w:pPr>
      <w:r>
        <w:rPr>
          <w:rFonts w:hint="eastAsia"/>
        </w:rPr>
        <w:t>若“减免方式”单选第</w:t>
      </w:r>
      <w:r>
        <w:t>2</w:t>
      </w:r>
      <w:r>
        <w:rPr>
          <w:rFonts w:hint="eastAsia"/>
        </w:rPr>
        <w:t>行“五免五减半”，第32行＝表A</w:t>
      </w:r>
      <w:r>
        <w:t>107040</w:t>
      </w:r>
      <w:r>
        <w:rPr>
          <w:rFonts w:hint="eastAsia"/>
        </w:rPr>
        <w:t>第</w:t>
      </w:r>
      <w:r>
        <w:t>9</w:t>
      </w:r>
      <w:r>
        <w:rPr>
          <w:rFonts w:hint="eastAsia"/>
        </w:rPr>
        <w:t>行；</w:t>
      </w:r>
    </w:p>
    <w:p>
      <w:pPr>
        <w:pStyle w:val="9"/>
      </w:pPr>
      <w:r>
        <w:rPr>
          <w:rFonts w:hint="eastAsia"/>
        </w:rPr>
        <w:t>若“减免方式”单选第</w:t>
      </w:r>
      <w:r>
        <w:t>2</w:t>
      </w:r>
      <w:r>
        <w:rPr>
          <w:rFonts w:hint="eastAsia"/>
        </w:rPr>
        <w:t>行“15%税率”，第32行＝表A107040第7行；</w:t>
      </w:r>
    </w:p>
    <w:p>
      <w:pPr>
        <w:pStyle w:val="9"/>
      </w:pPr>
      <w:r>
        <w:rPr>
          <w:rFonts w:hint="eastAsia"/>
        </w:rPr>
        <w:t>若“减免方式”单选第</w:t>
      </w:r>
      <w:r>
        <w:t>3</w:t>
      </w:r>
      <w:r>
        <w:rPr>
          <w:rFonts w:hint="eastAsia"/>
        </w:rPr>
        <w:t>行“五免五减半”，第32行＝表A107040第10行；</w:t>
      </w:r>
    </w:p>
    <w:p>
      <w:pPr>
        <w:pStyle w:val="9"/>
      </w:pPr>
      <w:r>
        <w:rPr>
          <w:rFonts w:hint="eastAsia"/>
        </w:rPr>
        <w:t>若“减免方式”单选第</w:t>
      </w:r>
      <w:r>
        <w:t>3</w:t>
      </w:r>
      <w:r>
        <w:rPr>
          <w:rFonts w:hint="eastAsia"/>
        </w:rPr>
        <w:t>行“15%税率”，第32行＝表A107040第8行；</w:t>
      </w:r>
    </w:p>
    <w:p>
      <w:pPr>
        <w:pStyle w:val="9"/>
      </w:pPr>
      <w:r>
        <w:rPr>
          <w:rFonts w:hint="eastAsia"/>
        </w:rPr>
        <w:t>若“减免方式”单选第</w:t>
      </w:r>
      <w:r>
        <w:t>4</w:t>
      </w:r>
      <w:r>
        <w:rPr>
          <w:rFonts w:hint="eastAsia"/>
        </w:rPr>
        <w:t>行，第32行＝表A107040第11行；</w:t>
      </w:r>
    </w:p>
    <w:p>
      <w:pPr>
        <w:pStyle w:val="9"/>
      </w:pPr>
      <w:r>
        <w:rPr>
          <w:rFonts w:hint="eastAsia"/>
        </w:rPr>
        <w:t>若“减免方式”单选第</w:t>
      </w:r>
      <w:r>
        <w:t>5</w:t>
      </w:r>
      <w:r>
        <w:rPr>
          <w:rFonts w:hint="eastAsia"/>
        </w:rPr>
        <w:t>行，第32行＝表A107040第12行；</w:t>
      </w:r>
    </w:p>
    <w:p>
      <w:pPr>
        <w:pStyle w:val="9"/>
      </w:pPr>
      <w:r>
        <w:rPr>
          <w:rFonts w:hint="eastAsia"/>
        </w:rPr>
        <w:t>若“减免方式”单选第</w:t>
      </w:r>
      <w:r>
        <w:t>6</w:t>
      </w:r>
      <w:r>
        <w:rPr>
          <w:rFonts w:hint="eastAsia"/>
        </w:rPr>
        <w:t>行，第32行＝表A107040第13行；</w:t>
      </w:r>
    </w:p>
    <w:p>
      <w:pPr>
        <w:pStyle w:val="9"/>
      </w:pPr>
      <w:r>
        <w:rPr>
          <w:rFonts w:hint="eastAsia"/>
        </w:rPr>
        <w:t>若“减免方式”单选第</w:t>
      </w:r>
      <w:r>
        <w:t>7</w:t>
      </w:r>
      <w:r>
        <w:rPr>
          <w:rFonts w:hint="eastAsia"/>
        </w:rPr>
        <w:t>行，第32行＝表A107040第14行；</w:t>
      </w:r>
    </w:p>
    <w:p>
      <w:pPr>
        <w:pStyle w:val="9"/>
      </w:pPr>
      <w:r>
        <w:rPr>
          <w:rFonts w:hint="eastAsia"/>
        </w:rPr>
        <w:t>若“减免方式”单选第</w:t>
      </w:r>
      <w:r>
        <w:t>8</w:t>
      </w:r>
      <w:r>
        <w:rPr>
          <w:rFonts w:hint="eastAsia"/>
        </w:rPr>
        <w:t>行，第32行＝表A107040第15行；</w:t>
      </w:r>
    </w:p>
    <w:p>
      <w:pPr>
        <w:pStyle w:val="9"/>
        <w:sectPr>
          <w:pgSz w:w="11906" w:h="16838"/>
          <w:pgMar w:top="1985" w:right="1418" w:bottom="1928" w:left="1418" w:header="851" w:footer="992" w:gutter="113"/>
          <w:cols w:space="425" w:num="1"/>
          <w:docGrid w:linePitch="312" w:charSpace="0"/>
        </w:sectPr>
      </w:pPr>
      <w:r>
        <w:rPr>
          <w:rFonts w:hint="eastAsia"/>
        </w:rPr>
        <w:t>若“减免方式”单选第</w:t>
      </w:r>
      <w:r>
        <w:t>9</w:t>
      </w:r>
      <w:r>
        <w:rPr>
          <w:rFonts w:hint="eastAsia"/>
        </w:rPr>
        <w:t>行，第32行＝表A107040第16行。</w:t>
      </w:r>
    </w:p>
    <w:p>
      <w:pPr>
        <w:pStyle w:val="13"/>
      </w:pPr>
      <w:bookmarkStart w:id="133" w:name="_Toc499456613"/>
      <w:r>
        <w:rPr>
          <w:rFonts w:hint="eastAsia"/>
        </w:rPr>
        <w:t>A107050</w:t>
      </w:r>
      <w:r>
        <w:tab/>
      </w:r>
      <w:r>
        <w:rPr>
          <w:rFonts w:hint="eastAsia"/>
        </w:rPr>
        <w:t>税额抵免优惠明细表</w:t>
      </w:r>
      <w:bookmarkEnd w:id="133"/>
    </w:p>
    <w:tbl>
      <w:tblPr>
        <w:tblStyle w:val="7"/>
        <w:tblW w:w="1335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1060"/>
        <w:gridCol w:w="1060"/>
        <w:gridCol w:w="1060"/>
        <w:gridCol w:w="1060"/>
        <w:gridCol w:w="1060"/>
        <w:gridCol w:w="688"/>
        <w:gridCol w:w="674"/>
        <w:gridCol w:w="807"/>
        <w:gridCol w:w="681"/>
        <w:gridCol w:w="84"/>
        <w:gridCol w:w="773"/>
        <w:gridCol w:w="1216"/>
        <w:gridCol w:w="1171"/>
        <w:gridCol w:w="13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64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06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w:t>
            </w:r>
          </w:p>
        </w:tc>
        <w:tc>
          <w:tcPr>
            <w:tcW w:w="106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p>
        </w:tc>
        <w:tc>
          <w:tcPr>
            <w:tcW w:w="106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本年抵免前应纳税额</w:t>
            </w:r>
          </w:p>
        </w:tc>
        <w:tc>
          <w:tcPr>
            <w:tcW w:w="106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本年允许抵免的专用设备投资额</w:t>
            </w:r>
          </w:p>
        </w:tc>
        <w:tc>
          <w:tcPr>
            <w:tcW w:w="106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本年可抵免税额</w:t>
            </w:r>
          </w:p>
        </w:tc>
        <w:tc>
          <w:tcPr>
            <w:tcW w:w="4923" w:type="dxa"/>
            <w:gridSpan w:val="7"/>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以前年度已抵免额</w:t>
            </w:r>
          </w:p>
        </w:tc>
        <w:tc>
          <w:tcPr>
            <w:tcW w:w="117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本年实际抵免的各年度税额</w:t>
            </w:r>
          </w:p>
        </w:tc>
        <w:tc>
          <w:tcPr>
            <w:tcW w:w="13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可结转以后年度抵免的税额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640" w:type="dxa"/>
            <w:vMerge w:val="continue"/>
            <w:shd w:val="clear" w:color="auto" w:fill="auto"/>
            <w:vAlign w:val="center"/>
          </w:tcPr>
          <w:p>
            <w:pPr>
              <w:widowControl/>
              <w:jc w:val="left"/>
              <w:rPr>
                <w:rFonts w:ascii="宋体" w:hAnsi="宋体" w:cs="宋体"/>
                <w:kern w:val="0"/>
                <w:sz w:val="20"/>
                <w:szCs w:val="20"/>
              </w:rPr>
            </w:pPr>
          </w:p>
        </w:tc>
        <w:tc>
          <w:tcPr>
            <w:tcW w:w="1060" w:type="dxa"/>
            <w:vMerge w:val="continue"/>
            <w:shd w:val="clear" w:color="auto" w:fill="auto"/>
            <w:vAlign w:val="center"/>
          </w:tcPr>
          <w:p>
            <w:pPr>
              <w:widowControl/>
              <w:jc w:val="left"/>
              <w:rPr>
                <w:rFonts w:ascii="宋体" w:hAnsi="宋体" w:cs="宋体"/>
                <w:kern w:val="0"/>
                <w:sz w:val="20"/>
                <w:szCs w:val="20"/>
              </w:rPr>
            </w:pPr>
          </w:p>
        </w:tc>
        <w:tc>
          <w:tcPr>
            <w:tcW w:w="1060" w:type="dxa"/>
            <w:vMerge w:val="continue"/>
            <w:shd w:val="clear" w:color="auto" w:fill="auto"/>
            <w:vAlign w:val="center"/>
          </w:tcPr>
          <w:p>
            <w:pPr>
              <w:widowControl/>
              <w:jc w:val="left"/>
              <w:rPr>
                <w:rFonts w:ascii="宋体" w:hAnsi="宋体" w:cs="宋体"/>
                <w:kern w:val="0"/>
                <w:sz w:val="20"/>
                <w:szCs w:val="20"/>
              </w:rPr>
            </w:pPr>
          </w:p>
        </w:tc>
        <w:tc>
          <w:tcPr>
            <w:tcW w:w="1060" w:type="dxa"/>
            <w:vMerge w:val="continue"/>
            <w:shd w:val="clear" w:color="auto" w:fill="auto"/>
            <w:vAlign w:val="center"/>
          </w:tcPr>
          <w:p>
            <w:pPr>
              <w:widowControl/>
              <w:jc w:val="left"/>
              <w:rPr>
                <w:rFonts w:ascii="宋体" w:hAnsi="宋体" w:cs="宋体"/>
                <w:kern w:val="0"/>
                <w:sz w:val="20"/>
                <w:szCs w:val="20"/>
              </w:rPr>
            </w:pPr>
          </w:p>
        </w:tc>
        <w:tc>
          <w:tcPr>
            <w:tcW w:w="1060" w:type="dxa"/>
            <w:vMerge w:val="continue"/>
            <w:shd w:val="clear" w:color="auto" w:fill="auto"/>
            <w:vAlign w:val="center"/>
          </w:tcPr>
          <w:p>
            <w:pPr>
              <w:widowControl/>
              <w:jc w:val="left"/>
              <w:rPr>
                <w:rFonts w:ascii="宋体" w:hAnsi="宋体" w:cs="宋体"/>
                <w:kern w:val="0"/>
                <w:sz w:val="20"/>
                <w:szCs w:val="20"/>
              </w:rPr>
            </w:pPr>
          </w:p>
        </w:tc>
        <w:tc>
          <w:tcPr>
            <w:tcW w:w="1060" w:type="dxa"/>
            <w:vMerge w:val="continue"/>
            <w:shd w:val="clear" w:color="auto" w:fill="auto"/>
            <w:vAlign w:val="center"/>
          </w:tcPr>
          <w:p>
            <w:pPr>
              <w:widowControl/>
              <w:jc w:val="left"/>
              <w:rPr>
                <w:rFonts w:ascii="宋体" w:hAnsi="宋体" w:cs="宋体"/>
                <w:kern w:val="0"/>
                <w:sz w:val="20"/>
                <w:szCs w:val="20"/>
              </w:rPr>
            </w:pPr>
          </w:p>
        </w:tc>
        <w:tc>
          <w:tcPr>
            <w:tcW w:w="6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前五年度</w:t>
            </w:r>
          </w:p>
        </w:tc>
        <w:tc>
          <w:tcPr>
            <w:tcW w:w="674"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前四年度</w:t>
            </w:r>
          </w:p>
        </w:tc>
        <w:tc>
          <w:tcPr>
            <w:tcW w:w="80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前三年度</w:t>
            </w:r>
          </w:p>
        </w:tc>
        <w:tc>
          <w:tcPr>
            <w:tcW w:w="68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前二年度</w:t>
            </w:r>
          </w:p>
        </w:tc>
        <w:tc>
          <w:tcPr>
            <w:tcW w:w="857"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前一年度</w:t>
            </w:r>
          </w:p>
        </w:tc>
        <w:tc>
          <w:tcPr>
            <w:tcW w:w="12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小计</w:t>
            </w:r>
          </w:p>
        </w:tc>
        <w:tc>
          <w:tcPr>
            <w:tcW w:w="1171" w:type="dxa"/>
            <w:vAlign w:val="center"/>
          </w:tcPr>
          <w:p>
            <w:pPr>
              <w:widowControl/>
              <w:jc w:val="left"/>
              <w:rPr>
                <w:rFonts w:ascii="宋体" w:hAnsi="宋体" w:cs="宋体"/>
                <w:kern w:val="0"/>
                <w:sz w:val="20"/>
                <w:szCs w:val="20"/>
              </w:rPr>
            </w:pPr>
          </w:p>
        </w:tc>
        <w:tc>
          <w:tcPr>
            <w:tcW w:w="1316" w:type="dxa"/>
            <w:vAlign w:val="center"/>
          </w:tcPr>
          <w:p>
            <w:pPr>
              <w:widowControl/>
              <w:jc w:val="left"/>
              <w:rPr>
                <w:rFonts w:ascii="宋体" w:hAnsi="宋体" w:cs="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640" w:type="dxa"/>
            <w:vMerge w:val="continue"/>
            <w:shd w:val="clear" w:color="auto" w:fill="auto"/>
            <w:vAlign w:val="center"/>
          </w:tcPr>
          <w:p>
            <w:pPr>
              <w:widowControl/>
              <w:jc w:val="left"/>
              <w:rPr>
                <w:rFonts w:ascii="宋体" w:hAnsi="宋体" w:cs="宋体"/>
                <w:kern w:val="0"/>
                <w:sz w:val="20"/>
                <w:szCs w:val="20"/>
              </w:rPr>
            </w:pPr>
          </w:p>
        </w:tc>
        <w:tc>
          <w:tcPr>
            <w:tcW w:w="1060" w:type="dxa"/>
            <w:vMerge w:val="continue"/>
            <w:shd w:val="clear" w:color="auto" w:fill="auto"/>
            <w:vAlign w:val="center"/>
          </w:tcPr>
          <w:p>
            <w:pPr>
              <w:widowControl/>
              <w:jc w:val="left"/>
              <w:rPr>
                <w:rFonts w:ascii="宋体" w:hAnsi="宋体" w:cs="宋体"/>
                <w:kern w:val="0"/>
                <w:sz w:val="20"/>
                <w:szCs w:val="20"/>
              </w:rPr>
            </w:pP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4（3×10%）</w:t>
            </w:r>
          </w:p>
        </w:tc>
        <w:tc>
          <w:tcPr>
            <w:tcW w:w="6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674"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0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68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57"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2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10（5+…+9）</w:t>
            </w:r>
          </w:p>
        </w:tc>
        <w:tc>
          <w:tcPr>
            <w:tcW w:w="117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3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12（4-10-11）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前五年度</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74"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0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8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7"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71"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前四年度</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674"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0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8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7"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71"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前三年度</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674"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0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8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7"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71"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前二年度</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674"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0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68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57"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71"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前一年度</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674"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0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68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57"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71"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本年度</w:t>
            </w:r>
          </w:p>
        </w:tc>
        <w:tc>
          <w:tcPr>
            <w:tcW w:w="106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8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674"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0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681"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57"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2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171"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3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0223" w:type="dxa"/>
            <w:gridSpan w:val="12"/>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本年实际抵免税额合计</w:t>
            </w:r>
          </w:p>
        </w:tc>
        <w:tc>
          <w:tcPr>
            <w:tcW w:w="117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1394" w:type="dxa"/>
            <w:gridSpan w:val="13"/>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可结转以后年度抵免的税额合计</w:t>
            </w:r>
          </w:p>
        </w:tc>
        <w:tc>
          <w:tcPr>
            <w:tcW w:w="1316" w:type="dxa"/>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06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专用设备</w:t>
            </w:r>
            <w:r>
              <w:rPr>
                <w:rFonts w:hint="eastAsia" w:ascii="宋体" w:hAnsi="宋体" w:cs="宋体"/>
                <w:kern w:val="0"/>
                <w:sz w:val="20"/>
                <w:szCs w:val="20"/>
              </w:rPr>
              <w:br w:type="textWrapping"/>
            </w:r>
            <w:r>
              <w:rPr>
                <w:rFonts w:hint="eastAsia" w:ascii="宋体" w:hAnsi="宋体" w:cs="宋体"/>
                <w:kern w:val="0"/>
                <w:sz w:val="20"/>
                <w:szCs w:val="20"/>
              </w:rPr>
              <w:t>投资情况</w:t>
            </w:r>
          </w:p>
        </w:tc>
        <w:tc>
          <w:tcPr>
            <w:tcW w:w="7174" w:type="dxa"/>
            <w:gridSpan w:val="9"/>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本年允许抵免的环境保护专用设备投资额</w:t>
            </w:r>
          </w:p>
        </w:tc>
        <w:tc>
          <w:tcPr>
            <w:tcW w:w="4476" w:type="dxa"/>
            <w:gridSpan w:val="4"/>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060" w:type="dxa"/>
            <w:vMerge w:val="continue"/>
            <w:shd w:val="clear" w:color="auto" w:fill="auto"/>
            <w:vAlign w:val="center"/>
          </w:tcPr>
          <w:p>
            <w:pPr>
              <w:widowControl/>
              <w:jc w:val="left"/>
              <w:rPr>
                <w:rFonts w:ascii="宋体" w:hAnsi="宋体" w:cs="宋体"/>
                <w:kern w:val="0"/>
                <w:sz w:val="20"/>
                <w:szCs w:val="20"/>
              </w:rPr>
            </w:pPr>
          </w:p>
        </w:tc>
        <w:tc>
          <w:tcPr>
            <w:tcW w:w="7174" w:type="dxa"/>
            <w:gridSpan w:val="9"/>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本年允许抵免节能节水的专用设备投资额</w:t>
            </w:r>
          </w:p>
        </w:tc>
        <w:tc>
          <w:tcPr>
            <w:tcW w:w="4476" w:type="dxa"/>
            <w:gridSpan w:val="4"/>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060" w:type="dxa"/>
            <w:vMerge w:val="continue"/>
            <w:shd w:val="clear" w:color="auto" w:fill="auto"/>
            <w:vAlign w:val="center"/>
          </w:tcPr>
          <w:p>
            <w:pPr>
              <w:widowControl/>
              <w:jc w:val="left"/>
              <w:rPr>
                <w:rFonts w:ascii="宋体" w:hAnsi="宋体" w:cs="宋体"/>
                <w:kern w:val="0"/>
                <w:sz w:val="20"/>
                <w:szCs w:val="20"/>
              </w:rPr>
            </w:pPr>
          </w:p>
        </w:tc>
        <w:tc>
          <w:tcPr>
            <w:tcW w:w="7174" w:type="dxa"/>
            <w:gridSpan w:val="9"/>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本年允许抵免的安全生产专用设备投资额</w:t>
            </w:r>
          </w:p>
        </w:tc>
        <w:tc>
          <w:tcPr>
            <w:tcW w:w="4476" w:type="dxa"/>
            <w:gridSpan w:val="4"/>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pStyle w:val="9"/>
        <w:sectPr>
          <w:pgSz w:w="16838" w:h="11906" w:orient="landscape"/>
          <w:pgMar w:top="1418" w:right="1985" w:bottom="1418" w:left="1928" w:header="851" w:footer="992" w:gutter="113"/>
          <w:cols w:space="425" w:num="1"/>
          <w:docGrid w:linePitch="312" w:charSpace="0"/>
        </w:sectPr>
      </w:pPr>
    </w:p>
    <w:bookmarkEnd w:id="124"/>
    <w:bookmarkEnd w:id="132"/>
    <w:p>
      <w:pPr>
        <w:pStyle w:val="8"/>
        <w:spacing w:before="240" w:after="360"/>
      </w:pPr>
      <w:bookmarkStart w:id="134" w:name="_Toc499456614"/>
      <w:bookmarkStart w:id="135" w:name="_Toc393471164"/>
      <w:r>
        <w:rPr>
          <w:rFonts w:hint="eastAsia"/>
        </w:rPr>
        <w:t>A107050</w:t>
      </w:r>
      <w:r>
        <w:tab/>
      </w:r>
      <w:r>
        <w:rPr>
          <w:rFonts w:hint="eastAsia"/>
        </w:rPr>
        <w:t>《税额抵免优惠明细表》填报说明</w:t>
      </w:r>
      <w:bookmarkEnd w:id="134"/>
      <w:bookmarkEnd w:id="135"/>
    </w:p>
    <w:p>
      <w:pPr>
        <w:pStyle w:val="9"/>
        <w:rPr>
          <w:color w:val="000000"/>
        </w:rPr>
      </w:pPr>
      <w:r>
        <w:rPr>
          <w:rFonts w:hint="eastAsia"/>
          <w:color w:val="000000"/>
        </w:rPr>
        <w:t>本表适用于享受专用设备投资额抵免优惠（含结转）的纳税人填报。纳税人根据税法、《</w:t>
      </w:r>
      <w:r>
        <w:rPr>
          <w:color w:val="000000"/>
        </w:rPr>
        <w:t>财政部　国家税务总局关于执行环境保护专用设备企业所得税优惠目录、节能节水专用设备企业所得税优惠目录和安全生产专用设备企业所得税优惠目录有关问题的通知</w:t>
      </w:r>
      <w:r>
        <w:rPr>
          <w:rFonts w:hint="eastAsia"/>
          <w:color w:val="000000"/>
        </w:rPr>
        <w:t>》（财税〔</w:t>
      </w:r>
      <w:r>
        <w:rPr>
          <w:color w:val="000000"/>
        </w:rPr>
        <w:t>2008〕48号</w:t>
      </w:r>
      <w:r>
        <w:rPr>
          <w:rFonts w:hint="eastAsia"/>
          <w:color w:val="000000"/>
        </w:rPr>
        <w:t>）、《财政部　国家税务总局　国家发展改革委关于公布节能节水专用设备企业所得税优惠目录（2008年版）和环境保护专用设备企业所得税优惠目录（2008年版）的通知》（财税〔</w:t>
      </w:r>
      <w:r>
        <w:rPr>
          <w:color w:val="000000"/>
        </w:rPr>
        <w:t>2008〕115号</w:t>
      </w:r>
      <w:r>
        <w:rPr>
          <w:rFonts w:hint="eastAsia"/>
          <w:color w:val="000000"/>
        </w:rPr>
        <w:t>）、《财政部　国家税务总局　安全监管总局关于公布〈安全生产专用设备企业所得税优惠目录（2008年版）〉的通知》（财税〔</w:t>
      </w:r>
      <w:r>
        <w:rPr>
          <w:color w:val="000000"/>
        </w:rPr>
        <w:t>2008〕118号</w:t>
      </w:r>
      <w:r>
        <w:rPr>
          <w:rFonts w:hint="eastAsia"/>
          <w:color w:val="000000"/>
        </w:rPr>
        <w:t>）、《财政部　国家税务总局关于执行企业所得税优惠政策若干问题的通知》（财税〔</w:t>
      </w:r>
      <w:r>
        <w:rPr>
          <w:color w:val="000000"/>
        </w:rPr>
        <w:t>2009〕69号</w:t>
      </w:r>
      <w:r>
        <w:rPr>
          <w:rFonts w:hint="eastAsia"/>
          <w:color w:val="000000"/>
        </w:rPr>
        <w:t>）、《国家税务总局关于环境保护、节能节水、安全生产等专用设备投资抵免企业所得税有关问题的通知》（国税函〔</w:t>
      </w:r>
      <w:r>
        <w:rPr>
          <w:color w:val="000000"/>
        </w:rPr>
        <w:t>2010〕256号</w:t>
      </w:r>
      <w:r>
        <w:rPr>
          <w:rFonts w:hint="eastAsia"/>
          <w:color w:val="000000"/>
        </w:rPr>
        <w:t>）、《财政部 税务总局 国家发展改革委 工业和信息化部 环境保护部关于印发节能节水和环境保护专用设备企业所得税优惠目录（2017年版）的通知》（财税〔</w:t>
      </w:r>
      <w:r>
        <w:rPr>
          <w:color w:val="000000"/>
        </w:rPr>
        <w:t>20</w:t>
      </w:r>
      <w:r>
        <w:rPr>
          <w:rFonts w:hint="eastAsia"/>
          <w:color w:val="000000"/>
        </w:rPr>
        <w:t>17</w:t>
      </w:r>
      <w:r>
        <w:rPr>
          <w:color w:val="000000"/>
        </w:rPr>
        <w:t>〕</w:t>
      </w:r>
      <w:r>
        <w:rPr>
          <w:rFonts w:hint="eastAsia"/>
          <w:color w:val="000000"/>
        </w:rPr>
        <w:t>71</w:t>
      </w:r>
      <w:r>
        <w:rPr>
          <w:color w:val="000000"/>
        </w:rPr>
        <w:t>号</w:t>
      </w:r>
      <w:r>
        <w:rPr>
          <w:rFonts w:hint="eastAsia"/>
          <w:color w:val="000000"/>
        </w:rPr>
        <w:t>）等相关税收政策规定，填报本年发生的专用设备投资额抵免优惠（含结转）情况。</w:t>
      </w:r>
    </w:p>
    <w:p>
      <w:pPr>
        <w:pStyle w:val="11"/>
        <w:ind w:firstLine="482"/>
      </w:pPr>
      <w:r>
        <w:rPr>
          <w:rFonts w:hint="eastAsia"/>
        </w:rPr>
        <w:t>一、有关项目填报说明</w:t>
      </w:r>
    </w:p>
    <w:p>
      <w:pPr>
        <w:pStyle w:val="9"/>
        <w:rPr>
          <w:color w:val="000000"/>
        </w:rPr>
      </w:pPr>
      <w:r>
        <w:rPr>
          <w:rFonts w:hint="eastAsia"/>
          <w:color w:val="000000"/>
        </w:rPr>
        <w:t>1</w:t>
      </w:r>
      <w:r>
        <w:rPr>
          <w:rFonts w:hint="eastAsia" w:cs="Calibri"/>
          <w:color w:val="000000"/>
        </w:rPr>
        <w:t>.</w:t>
      </w:r>
      <w:r>
        <w:rPr>
          <w:rFonts w:hint="eastAsia"/>
          <w:color w:val="000000"/>
        </w:rPr>
        <w:t>第1列“年度”：填报公历年份。第6行为本年，</w:t>
      </w:r>
      <w:r>
        <w:rPr>
          <w:color w:val="000000"/>
        </w:rPr>
        <w:t>第5</w:t>
      </w:r>
      <w:r>
        <w:rPr>
          <w:rFonts w:hint="eastAsia"/>
          <w:color w:val="000000"/>
        </w:rPr>
        <w:t>行</w:t>
      </w:r>
      <w:r>
        <w:rPr>
          <w:color w:val="000000"/>
        </w:rPr>
        <w:t>至第1行依次</w:t>
      </w:r>
      <w:r>
        <w:rPr>
          <w:rFonts w:hint="eastAsia"/>
          <w:color w:val="000000"/>
        </w:rPr>
        <w:t>填报。</w:t>
      </w:r>
    </w:p>
    <w:p>
      <w:pPr>
        <w:pStyle w:val="9"/>
        <w:rPr>
          <w:color w:val="000000"/>
        </w:rPr>
      </w:pPr>
      <w:r>
        <w:rPr>
          <w:rFonts w:hint="eastAsia"/>
          <w:color w:val="000000"/>
        </w:rPr>
        <w:t>2</w:t>
      </w:r>
      <w:r>
        <w:rPr>
          <w:rFonts w:hint="eastAsia" w:cs="Calibri"/>
          <w:color w:val="000000"/>
        </w:rPr>
        <w:t>.</w:t>
      </w:r>
      <w:r>
        <w:rPr>
          <w:rFonts w:hint="eastAsia"/>
          <w:color w:val="000000"/>
        </w:rPr>
        <w:t>第2列“本年抵免前应纳税额”：填报纳税人《中华人民共和国企业所得税年度纳税申报表（A类）》（表</w:t>
      </w:r>
      <w:r>
        <w:rPr>
          <w:color w:val="000000"/>
        </w:rPr>
        <w:t>A100000</w:t>
      </w:r>
      <w:r>
        <w:rPr>
          <w:rFonts w:hint="eastAsia"/>
          <w:color w:val="000000"/>
        </w:rPr>
        <w:t>）第25行“应纳所得税额”减第26行“减免所得税额”后的额。</w:t>
      </w:r>
      <w:r>
        <w:rPr>
          <w:color w:val="000000"/>
        </w:rPr>
        <w:t>2012</w:t>
      </w:r>
      <w:r>
        <w:rPr>
          <w:rFonts w:hint="eastAsia"/>
          <w:color w:val="000000"/>
        </w:rPr>
        <w:t>和</w:t>
      </w:r>
      <w:r>
        <w:rPr>
          <w:color w:val="000000"/>
        </w:rPr>
        <w:t>2013年度</w:t>
      </w:r>
      <w:r>
        <w:rPr>
          <w:rFonts w:hint="eastAsia"/>
          <w:color w:val="000000"/>
        </w:rPr>
        <w:t>的</w:t>
      </w:r>
      <w:r>
        <w:rPr>
          <w:color w:val="000000"/>
        </w:rPr>
        <w:t>“当年抵免前应纳税额”：填报</w:t>
      </w:r>
      <w:r>
        <w:rPr>
          <w:rFonts w:hint="eastAsia"/>
          <w:color w:val="000000"/>
        </w:rPr>
        <w:t>《企业所得税年度纳税申报表（A类）》（2008年版）</w:t>
      </w:r>
      <w:r>
        <w:rPr>
          <w:color w:val="000000"/>
        </w:rPr>
        <w:t>第27行“应纳所得税额”减第28行“减免所得税额”后的</w:t>
      </w:r>
      <w:r>
        <w:rPr>
          <w:rFonts w:hint="eastAsia"/>
          <w:color w:val="000000"/>
        </w:rPr>
        <w:t>余</w:t>
      </w:r>
      <w:r>
        <w:rPr>
          <w:color w:val="000000"/>
        </w:rPr>
        <w:t>额。</w:t>
      </w:r>
      <w:r>
        <w:rPr>
          <w:rFonts w:hint="eastAsia"/>
          <w:color w:val="000000"/>
        </w:rPr>
        <w:t>2014、2015和2016年度的</w:t>
      </w:r>
      <w:r>
        <w:rPr>
          <w:color w:val="000000"/>
        </w:rPr>
        <w:t>“当年抵免前应纳税额”：</w:t>
      </w:r>
      <w:r>
        <w:rPr>
          <w:rFonts w:hint="eastAsia"/>
          <w:color w:val="000000"/>
        </w:rPr>
        <w:t>填报纳税人《中华人民共和国企业所得税年度纳税申报表（A类）》（2014年版）第25行“应纳所得税额”减第26行“减免所得税额”后的余额。</w:t>
      </w:r>
    </w:p>
    <w:p>
      <w:pPr>
        <w:pStyle w:val="9"/>
        <w:rPr>
          <w:color w:val="000000"/>
        </w:rPr>
      </w:pPr>
      <w:r>
        <w:rPr>
          <w:rFonts w:hint="eastAsia"/>
          <w:color w:val="000000"/>
        </w:rPr>
        <w:t>3</w:t>
      </w:r>
      <w:r>
        <w:rPr>
          <w:rFonts w:hint="eastAsia" w:cs="Calibri"/>
          <w:color w:val="000000"/>
        </w:rPr>
        <w:t>.</w:t>
      </w:r>
      <w:r>
        <w:rPr>
          <w:rFonts w:hint="eastAsia"/>
          <w:color w:val="000000"/>
        </w:rPr>
        <w:t>第3列“本年允许抵免的专用设备投资额”：填报纳税人本年购置并实际使用《环境保护专用设备企业所得税优惠目录》《节能节水专用设备企业所得税优惠目录》和《安全生产专用设备企业所得税优惠目录》规定的环境保护、节能节水、安全生产等专用设备的发票价税合计金额，但不包括</w:t>
      </w:r>
      <w:r>
        <w:rPr>
          <w:color w:val="000000"/>
        </w:rPr>
        <w:t>允许抵扣的增值税进项税额、</w:t>
      </w:r>
      <w:r>
        <w:rPr>
          <w:rFonts w:hint="eastAsia"/>
          <w:color w:val="000000"/>
        </w:rPr>
        <w:t>按有关规定退还的增值税税款以及设备运输、安装和调试等费用。</w:t>
      </w:r>
    </w:p>
    <w:p>
      <w:pPr>
        <w:pStyle w:val="9"/>
        <w:rPr>
          <w:color w:val="000000"/>
        </w:rPr>
      </w:pPr>
      <w:r>
        <w:rPr>
          <w:rFonts w:hint="eastAsia"/>
          <w:color w:val="000000"/>
        </w:rPr>
        <w:t>4第4列“本年可抵免税额”：填报第3列×10%的金额。</w:t>
      </w:r>
    </w:p>
    <w:p>
      <w:pPr>
        <w:pStyle w:val="9"/>
        <w:rPr>
          <w:color w:val="000000"/>
        </w:rPr>
      </w:pPr>
      <w:r>
        <w:rPr>
          <w:rFonts w:hint="eastAsia"/>
          <w:color w:val="000000"/>
        </w:rPr>
        <w:t>5</w:t>
      </w:r>
      <w:r>
        <w:rPr>
          <w:rFonts w:hint="eastAsia" w:cs="Calibri"/>
          <w:color w:val="000000"/>
        </w:rPr>
        <w:t>.第5列至第9列“以前年度已抵免额”：填报纳税人以前年度已抵免税额，其中前五年度、前四年度、前三年度、前二年度、前一年度与“项目”列中的前五年度、前四年度、前三年度、前二年度、前一年度相对应。</w:t>
      </w:r>
    </w:p>
    <w:p>
      <w:pPr>
        <w:pStyle w:val="9"/>
        <w:rPr>
          <w:color w:val="000000"/>
        </w:rPr>
      </w:pPr>
      <w:r>
        <w:rPr>
          <w:rFonts w:hint="eastAsia"/>
          <w:color w:val="000000"/>
        </w:rPr>
        <w:t>6</w:t>
      </w:r>
      <w:r>
        <w:rPr>
          <w:rFonts w:hint="eastAsia" w:cs="Calibri"/>
          <w:color w:val="000000"/>
        </w:rPr>
        <w:t>.</w:t>
      </w:r>
      <w:r>
        <w:rPr>
          <w:rFonts w:hint="eastAsia"/>
          <w:color w:val="000000"/>
        </w:rPr>
        <w:t>第10列“以前年度已抵免额—小计”：填报第5+6+7+8+9列的合计金额。</w:t>
      </w:r>
    </w:p>
    <w:p>
      <w:pPr>
        <w:pStyle w:val="9"/>
        <w:rPr>
          <w:color w:val="000000"/>
        </w:rPr>
      </w:pPr>
      <w:r>
        <w:rPr>
          <w:rFonts w:hint="eastAsia"/>
          <w:color w:val="000000"/>
        </w:rPr>
        <w:t>7</w:t>
      </w:r>
      <w:r>
        <w:rPr>
          <w:rFonts w:hint="eastAsia" w:cs="Calibri"/>
          <w:color w:val="000000"/>
        </w:rPr>
        <w:t>.</w:t>
      </w:r>
      <w:r>
        <w:rPr>
          <w:rFonts w:hint="eastAsia"/>
          <w:color w:val="000000"/>
        </w:rPr>
        <w:t>第11列“本年实际抵免的各年度税额”：第1行至第6行填报纳税人用于依次抵免前5个年度及本年尚未抵免的税额，第11列小于等于第4-10列，且第11列第1行至第6行合计金额不得大于第6行第2列的金额。</w:t>
      </w:r>
    </w:p>
    <w:p>
      <w:pPr>
        <w:pStyle w:val="9"/>
        <w:rPr>
          <w:color w:val="000000"/>
        </w:rPr>
      </w:pPr>
      <w:r>
        <w:rPr>
          <w:rFonts w:hint="eastAsia"/>
          <w:color w:val="000000"/>
        </w:rPr>
        <w:t>8</w:t>
      </w:r>
      <w:r>
        <w:rPr>
          <w:rFonts w:hint="eastAsia" w:cs="Calibri"/>
          <w:color w:val="000000"/>
        </w:rPr>
        <w:t>.</w:t>
      </w:r>
      <w:r>
        <w:rPr>
          <w:rFonts w:hint="eastAsia"/>
          <w:color w:val="000000"/>
        </w:rPr>
        <w:t>第12列“可结转以后年度抵免的税额”：填报第4-10-11列的余额。</w:t>
      </w:r>
    </w:p>
    <w:p>
      <w:pPr>
        <w:pStyle w:val="9"/>
        <w:rPr>
          <w:color w:val="000000"/>
        </w:rPr>
      </w:pPr>
      <w:r>
        <w:rPr>
          <w:rFonts w:hint="eastAsia"/>
          <w:color w:val="000000"/>
        </w:rPr>
        <w:t>9</w:t>
      </w:r>
      <w:r>
        <w:rPr>
          <w:rFonts w:hint="eastAsia" w:cs="Calibri"/>
          <w:color w:val="000000"/>
        </w:rPr>
        <w:t>.</w:t>
      </w:r>
      <w:r>
        <w:rPr>
          <w:rFonts w:hint="eastAsia"/>
          <w:color w:val="000000"/>
        </w:rPr>
        <w:t>第7行第11列“本年实际抵免税额合计”：填报</w:t>
      </w:r>
      <w:r>
        <w:rPr>
          <w:color w:val="000000"/>
        </w:rPr>
        <w:t>第1</w:t>
      </w:r>
      <w:r>
        <w:rPr>
          <w:rFonts w:hint="eastAsia"/>
          <w:color w:val="000000"/>
        </w:rPr>
        <w:t>1</w:t>
      </w:r>
      <w:r>
        <w:rPr>
          <w:color w:val="000000"/>
        </w:rPr>
        <w:t>列第1</w:t>
      </w:r>
      <w:r>
        <w:rPr>
          <w:rFonts w:hint="eastAsia"/>
          <w:color w:val="000000"/>
        </w:rPr>
        <w:t>+2+</w:t>
      </w:r>
      <w:r>
        <w:rPr>
          <w:color w:val="000000"/>
        </w:rPr>
        <w:t>…</w:t>
      </w:r>
      <w:r>
        <w:rPr>
          <w:rFonts w:hint="eastAsia"/>
          <w:color w:val="000000"/>
        </w:rPr>
        <w:t>+</w:t>
      </w:r>
      <w:r>
        <w:rPr>
          <w:color w:val="000000"/>
        </w:rPr>
        <w:t>6行</w:t>
      </w:r>
      <w:r>
        <w:rPr>
          <w:rFonts w:hint="eastAsia"/>
          <w:color w:val="000000"/>
        </w:rPr>
        <w:t>的合计金额。</w:t>
      </w:r>
    </w:p>
    <w:p>
      <w:pPr>
        <w:pStyle w:val="9"/>
        <w:rPr>
          <w:color w:val="000000"/>
        </w:rPr>
      </w:pPr>
      <w:r>
        <w:rPr>
          <w:rFonts w:hint="eastAsia"/>
          <w:color w:val="000000"/>
        </w:rPr>
        <w:t>10</w:t>
      </w:r>
      <w:r>
        <w:rPr>
          <w:rFonts w:hint="eastAsia" w:cs="Calibri"/>
          <w:color w:val="000000"/>
        </w:rPr>
        <w:t>.</w:t>
      </w:r>
      <w:r>
        <w:rPr>
          <w:rFonts w:hint="eastAsia"/>
          <w:color w:val="000000"/>
        </w:rPr>
        <w:t>第8行第12列“可结转以后年度抵免的税额合计”：填报第12列第2+3+</w:t>
      </w:r>
      <w:r>
        <w:rPr>
          <w:color w:val="000000"/>
        </w:rPr>
        <w:t>…</w:t>
      </w:r>
      <w:r>
        <w:rPr>
          <w:rFonts w:hint="eastAsia"/>
          <w:color w:val="000000"/>
        </w:rPr>
        <w:t>+6行的合计金额。</w:t>
      </w:r>
    </w:p>
    <w:p>
      <w:pPr>
        <w:pStyle w:val="9"/>
        <w:rPr>
          <w:color w:val="000000"/>
        </w:rPr>
      </w:pPr>
      <w:r>
        <w:rPr>
          <w:rFonts w:hint="eastAsia"/>
          <w:color w:val="000000"/>
        </w:rPr>
        <w:t>11</w:t>
      </w:r>
      <w:r>
        <w:rPr>
          <w:rFonts w:hint="eastAsia" w:cs="Calibri"/>
          <w:color w:val="000000"/>
        </w:rPr>
        <w:t>.</w:t>
      </w:r>
      <w:r>
        <w:rPr>
          <w:rFonts w:hint="eastAsia"/>
          <w:color w:val="000000"/>
        </w:rPr>
        <w:t>第9行“本年允许抵免的环境保护专用设备投资额”：填报纳税人本年购置并实际使用《环境保护专用设备企业所得税优惠目录》规定的环境保护专用设备的发票价税合计价格，但不包括</w:t>
      </w:r>
      <w:r>
        <w:rPr>
          <w:color w:val="000000"/>
        </w:rPr>
        <w:t>允许抵扣的增值税进项税额、</w:t>
      </w:r>
      <w:r>
        <w:rPr>
          <w:rFonts w:hint="eastAsia"/>
          <w:color w:val="000000"/>
        </w:rPr>
        <w:t>按有关规定退还的增值税税款以及设备运输、安装和调试等费用。</w:t>
      </w:r>
    </w:p>
    <w:p>
      <w:pPr>
        <w:pStyle w:val="9"/>
        <w:rPr>
          <w:color w:val="000000"/>
        </w:rPr>
      </w:pPr>
      <w:r>
        <w:rPr>
          <w:rFonts w:hint="eastAsia"/>
          <w:color w:val="000000"/>
        </w:rPr>
        <w:t>12</w:t>
      </w:r>
      <w:r>
        <w:rPr>
          <w:rFonts w:hint="eastAsia" w:cs="Calibri"/>
          <w:color w:val="000000"/>
        </w:rPr>
        <w:t>.</w:t>
      </w:r>
      <w:r>
        <w:rPr>
          <w:rFonts w:hint="eastAsia"/>
          <w:color w:val="000000"/>
        </w:rPr>
        <w:t>第10行“本年允许抵免节能节水的专用设备投资额”：填报纳税人本年购置并实际使用《节能节水专用设备企业所得税优惠目录》规定的节能节水等专用设备的发票价税合计价格，但不包括</w:t>
      </w:r>
      <w:r>
        <w:rPr>
          <w:color w:val="000000"/>
        </w:rPr>
        <w:t>允许抵扣的增值税进项税额、</w:t>
      </w:r>
      <w:r>
        <w:rPr>
          <w:rFonts w:hint="eastAsia"/>
          <w:color w:val="000000"/>
        </w:rPr>
        <w:t>按有关规定退还的增值税税款以及设备运输、安装和调试等费用。</w:t>
      </w:r>
    </w:p>
    <w:p>
      <w:pPr>
        <w:pStyle w:val="9"/>
        <w:rPr>
          <w:color w:val="000000"/>
        </w:rPr>
      </w:pPr>
      <w:r>
        <w:rPr>
          <w:rFonts w:hint="eastAsia"/>
          <w:color w:val="000000"/>
        </w:rPr>
        <w:t>13</w:t>
      </w:r>
      <w:r>
        <w:rPr>
          <w:rFonts w:hint="eastAsia" w:cs="Calibri"/>
          <w:color w:val="000000"/>
        </w:rPr>
        <w:t>.</w:t>
      </w:r>
      <w:r>
        <w:rPr>
          <w:rFonts w:hint="eastAsia"/>
          <w:color w:val="000000"/>
        </w:rPr>
        <w:t>第11行“本年允许抵免的安全生产专用设备投资额”：填报纳税人本年购置并实际使用《安全生产专用设备企业所得税优惠目录》规定的安全生产等专用设备的发票价税合计价格，但不包括</w:t>
      </w:r>
      <w:r>
        <w:rPr>
          <w:color w:val="000000"/>
        </w:rPr>
        <w:t>允许抵扣的增值税进项税额、</w:t>
      </w:r>
      <w:r>
        <w:rPr>
          <w:rFonts w:hint="eastAsia"/>
          <w:color w:val="000000"/>
        </w:rPr>
        <w:t>按有关规定退还的增值税税款以及设备运输、安装和调试等费用。</w:t>
      </w:r>
    </w:p>
    <w:p>
      <w:pPr>
        <w:pStyle w:val="11"/>
        <w:ind w:firstLine="482"/>
      </w:pPr>
      <w:bookmarkStart w:id="136" w:name="_Toc393471168"/>
      <w:r>
        <w:rPr>
          <w:rFonts w:hint="eastAsia"/>
        </w:rPr>
        <w:t>二、表内、表间关系</w:t>
      </w:r>
      <w:bookmarkEnd w:id="136"/>
    </w:p>
    <w:p>
      <w:pPr>
        <w:pStyle w:val="12"/>
      </w:pPr>
      <w:r>
        <w:rPr>
          <w:rFonts w:hint="eastAsia"/>
        </w:rPr>
        <w:t>（一）表内关系</w:t>
      </w:r>
    </w:p>
    <w:p>
      <w:pPr>
        <w:pStyle w:val="9"/>
        <w:rPr>
          <w:color w:val="000000"/>
        </w:rPr>
      </w:pPr>
      <w:r>
        <w:rPr>
          <w:rFonts w:hint="eastAsia"/>
          <w:color w:val="000000"/>
        </w:rPr>
        <w:t>1</w:t>
      </w:r>
      <w:r>
        <w:rPr>
          <w:rFonts w:hint="eastAsia" w:cs="Calibri"/>
          <w:color w:val="000000"/>
        </w:rPr>
        <w:t>.</w:t>
      </w:r>
      <w:r>
        <w:rPr>
          <w:rFonts w:hint="eastAsia"/>
          <w:color w:val="000000"/>
        </w:rPr>
        <w:t>第4列＝第3列×10%。</w:t>
      </w:r>
    </w:p>
    <w:p>
      <w:pPr>
        <w:pStyle w:val="9"/>
        <w:rPr>
          <w:color w:val="000000"/>
        </w:rPr>
      </w:pPr>
      <w:r>
        <w:rPr>
          <w:rFonts w:hint="eastAsia"/>
          <w:color w:val="000000"/>
        </w:rPr>
        <w:t>2</w:t>
      </w:r>
      <w:r>
        <w:rPr>
          <w:rFonts w:hint="eastAsia" w:cs="Calibri"/>
          <w:color w:val="000000"/>
        </w:rPr>
        <w:t>.</w:t>
      </w:r>
      <w:r>
        <w:rPr>
          <w:rFonts w:hint="eastAsia"/>
          <w:color w:val="000000"/>
        </w:rPr>
        <w:t>第10列＝第5+6+</w:t>
      </w:r>
      <w:r>
        <w:rPr>
          <w:color w:val="000000"/>
        </w:rPr>
        <w:t>…</w:t>
      </w:r>
      <w:r>
        <w:rPr>
          <w:rFonts w:hint="eastAsia"/>
          <w:color w:val="000000"/>
        </w:rPr>
        <w:t>+9列。</w:t>
      </w:r>
    </w:p>
    <w:p>
      <w:pPr>
        <w:pStyle w:val="9"/>
        <w:rPr>
          <w:rFonts w:cs="Calibri"/>
          <w:color w:val="000000"/>
        </w:rPr>
      </w:pPr>
      <w:r>
        <w:rPr>
          <w:rFonts w:hint="eastAsia"/>
          <w:color w:val="000000"/>
        </w:rPr>
        <w:t>3</w:t>
      </w:r>
      <w:r>
        <w:rPr>
          <w:rFonts w:hint="eastAsia" w:cs="Calibri"/>
          <w:color w:val="000000"/>
        </w:rPr>
        <w:t>.</w:t>
      </w:r>
      <w:r>
        <w:rPr>
          <w:rFonts w:hint="eastAsia"/>
          <w:color w:val="000000"/>
        </w:rPr>
        <w:t>第11列≤第4-10列。</w:t>
      </w:r>
    </w:p>
    <w:p>
      <w:pPr>
        <w:pStyle w:val="9"/>
        <w:rPr>
          <w:color w:val="000000"/>
        </w:rPr>
      </w:pPr>
      <w:r>
        <w:rPr>
          <w:rFonts w:hint="eastAsia"/>
          <w:color w:val="000000"/>
        </w:rPr>
        <w:t>4</w:t>
      </w:r>
      <w:r>
        <w:rPr>
          <w:rFonts w:hint="eastAsia" w:cs="Calibri"/>
          <w:color w:val="000000"/>
        </w:rPr>
        <w:t>.</w:t>
      </w:r>
      <w:r>
        <w:rPr>
          <w:rFonts w:hint="eastAsia"/>
          <w:color w:val="000000"/>
        </w:rPr>
        <w:t>第12列＝第4-10-11列。</w:t>
      </w:r>
    </w:p>
    <w:p>
      <w:pPr>
        <w:pStyle w:val="9"/>
        <w:rPr>
          <w:color w:val="000000"/>
        </w:rPr>
      </w:pPr>
      <w:r>
        <w:rPr>
          <w:rFonts w:hint="eastAsia"/>
          <w:color w:val="000000"/>
        </w:rPr>
        <w:t>5.第6行第3列＝第9+10+11行。</w:t>
      </w:r>
    </w:p>
    <w:p>
      <w:pPr>
        <w:pStyle w:val="9"/>
        <w:rPr>
          <w:color w:val="000000"/>
        </w:rPr>
      </w:pPr>
      <w:r>
        <w:rPr>
          <w:rFonts w:hint="eastAsia" w:cs="Calibri"/>
          <w:color w:val="000000"/>
        </w:rPr>
        <w:t>6.</w:t>
      </w:r>
      <w:r>
        <w:rPr>
          <w:color w:val="000000"/>
        </w:rPr>
        <w:t>第7行第1</w:t>
      </w:r>
      <w:r>
        <w:rPr>
          <w:rFonts w:hint="eastAsia"/>
          <w:color w:val="000000"/>
        </w:rPr>
        <w:t>1</w:t>
      </w:r>
      <w:r>
        <w:rPr>
          <w:color w:val="000000"/>
        </w:rPr>
        <w:t>列＝第1</w:t>
      </w:r>
      <w:r>
        <w:rPr>
          <w:rFonts w:hint="eastAsia"/>
          <w:color w:val="000000"/>
        </w:rPr>
        <w:t>1</w:t>
      </w:r>
      <w:r>
        <w:rPr>
          <w:color w:val="000000"/>
        </w:rPr>
        <w:t>列第1</w:t>
      </w:r>
      <w:r>
        <w:rPr>
          <w:rFonts w:hint="eastAsia"/>
          <w:color w:val="000000"/>
        </w:rPr>
        <w:t>+</w:t>
      </w:r>
      <w:r>
        <w:rPr>
          <w:color w:val="000000"/>
        </w:rPr>
        <w:t>2</w:t>
      </w:r>
      <w:r>
        <w:rPr>
          <w:rFonts w:hint="eastAsia"/>
          <w:color w:val="000000"/>
        </w:rPr>
        <w:t>+</w:t>
      </w:r>
      <w:r>
        <w:rPr>
          <w:color w:val="000000"/>
        </w:rPr>
        <w:t>…+6行。</w:t>
      </w:r>
    </w:p>
    <w:p>
      <w:pPr>
        <w:pStyle w:val="9"/>
        <w:rPr>
          <w:color w:val="000000"/>
        </w:rPr>
      </w:pPr>
      <w:r>
        <w:rPr>
          <w:rFonts w:hint="eastAsia"/>
          <w:color w:val="000000"/>
        </w:rPr>
        <w:t>7.</w:t>
      </w:r>
      <w:r>
        <w:rPr>
          <w:color w:val="000000"/>
        </w:rPr>
        <w:t>第8行第1</w:t>
      </w:r>
      <w:r>
        <w:rPr>
          <w:rFonts w:hint="eastAsia"/>
          <w:color w:val="000000"/>
        </w:rPr>
        <w:t>2</w:t>
      </w:r>
      <w:r>
        <w:rPr>
          <w:color w:val="000000"/>
        </w:rPr>
        <w:t>列＝第1</w:t>
      </w:r>
      <w:r>
        <w:rPr>
          <w:rFonts w:hint="eastAsia"/>
          <w:color w:val="000000"/>
        </w:rPr>
        <w:t>2</w:t>
      </w:r>
      <w:r>
        <w:rPr>
          <w:color w:val="000000"/>
        </w:rPr>
        <w:t>列第2</w:t>
      </w:r>
      <w:r>
        <w:rPr>
          <w:rFonts w:hint="eastAsia"/>
          <w:color w:val="000000"/>
        </w:rPr>
        <w:t>+</w:t>
      </w:r>
      <w:r>
        <w:rPr>
          <w:color w:val="000000"/>
        </w:rPr>
        <w:t>3</w:t>
      </w:r>
      <w:r>
        <w:rPr>
          <w:rFonts w:hint="eastAsia"/>
          <w:color w:val="000000"/>
        </w:rPr>
        <w:t>+</w:t>
      </w:r>
      <w:r>
        <w:rPr>
          <w:color w:val="000000"/>
        </w:rPr>
        <w:t>…+6行。</w:t>
      </w:r>
    </w:p>
    <w:p>
      <w:pPr>
        <w:pStyle w:val="12"/>
      </w:pPr>
      <w:r>
        <w:rPr>
          <w:rFonts w:hint="eastAsia"/>
        </w:rPr>
        <w:t>（二）表间关系</w:t>
      </w:r>
    </w:p>
    <w:p>
      <w:pPr>
        <w:spacing w:line="360" w:lineRule="auto"/>
        <w:ind w:firstLine="523" w:firstLineChars="218"/>
        <w:rPr>
          <w:rFonts w:ascii="宋体" w:hAnsi="宋体"/>
          <w:color w:val="000000"/>
          <w:sz w:val="24"/>
        </w:rPr>
      </w:pPr>
      <w:r>
        <w:rPr>
          <w:rFonts w:hint="eastAsia" w:ascii="宋体" w:hAnsi="宋体"/>
          <w:color w:val="000000"/>
          <w:sz w:val="24"/>
        </w:rPr>
        <w:t>1</w:t>
      </w:r>
      <w:r>
        <w:rPr>
          <w:rFonts w:hint="eastAsia" w:ascii="宋体" w:hAnsi="宋体" w:cs="Calibri"/>
          <w:color w:val="000000"/>
          <w:sz w:val="24"/>
        </w:rPr>
        <w:t>.</w:t>
      </w:r>
      <w:r>
        <w:rPr>
          <w:rFonts w:hint="eastAsia" w:ascii="宋体" w:hAnsi="宋体"/>
          <w:color w:val="000000"/>
          <w:sz w:val="24"/>
        </w:rPr>
        <w:t>第7行第11列≤表A100000第25-26行。</w:t>
      </w:r>
    </w:p>
    <w:p>
      <w:pPr>
        <w:spacing w:line="360" w:lineRule="auto"/>
        <w:ind w:firstLine="523" w:firstLineChars="218"/>
        <w:rPr>
          <w:rFonts w:ascii="宋体" w:hAnsi="宋体"/>
          <w:color w:val="000000"/>
          <w:sz w:val="24"/>
        </w:rPr>
      </w:pPr>
      <w:r>
        <w:rPr>
          <w:rFonts w:hint="eastAsia" w:ascii="宋体" w:hAnsi="宋体"/>
          <w:color w:val="000000"/>
          <w:sz w:val="24"/>
        </w:rPr>
        <w:t>2</w:t>
      </w:r>
      <w:r>
        <w:rPr>
          <w:rFonts w:hint="eastAsia" w:ascii="宋体" w:hAnsi="宋体" w:cs="Calibri"/>
          <w:color w:val="000000"/>
          <w:sz w:val="24"/>
        </w:rPr>
        <w:t>.</w:t>
      </w:r>
      <w:r>
        <w:rPr>
          <w:rFonts w:hint="eastAsia" w:ascii="宋体" w:hAnsi="宋体"/>
          <w:color w:val="000000"/>
          <w:sz w:val="24"/>
        </w:rPr>
        <w:t>第7行第11列＝表A100000第27行。</w:t>
      </w:r>
    </w:p>
    <w:p>
      <w:pPr>
        <w:spacing w:line="360" w:lineRule="auto"/>
        <w:ind w:firstLine="523" w:firstLineChars="218"/>
        <w:rPr>
          <w:rFonts w:ascii="宋体" w:hAnsi="宋体"/>
          <w:color w:val="000000"/>
          <w:sz w:val="24"/>
        </w:rPr>
      </w:pPr>
      <w:r>
        <w:rPr>
          <w:rFonts w:hint="eastAsia" w:ascii="宋体" w:hAnsi="宋体"/>
          <w:color w:val="000000"/>
          <w:sz w:val="24"/>
        </w:rPr>
        <w:t>3</w:t>
      </w:r>
      <w:r>
        <w:rPr>
          <w:rFonts w:hint="eastAsia" w:ascii="宋体" w:hAnsi="宋体" w:cs="Calibri"/>
          <w:color w:val="000000"/>
          <w:sz w:val="24"/>
        </w:rPr>
        <w:t>.</w:t>
      </w:r>
      <w:r>
        <w:rPr>
          <w:rFonts w:hint="eastAsia" w:ascii="宋体" w:hAnsi="宋体"/>
          <w:color w:val="000000"/>
          <w:sz w:val="24"/>
        </w:rPr>
        <w:t>第2列＝表A100000第25行-表A100000第26行。</w:t>
      </w:r>
    </w:p>
    <w:p>
      <w:pPr>
        <w:spacing w:line="360" w:lineRule="auto"/>
        <w:ind w:firstLine="742" w:firstLineChars="309"/>
        <w:rPr>
          <w:rFonts w:hint="eastAsia" w:ascii="宋体" w:hAnsi="宋体"/>
          <w:sz w:val="24"/>
        </w:rPr>
      </w:pPr>
      <w:r>
        <w:rPr>
          <w:rFonts w:ascii="宋体" w:hAnsi="宋体"/>
          <w:sz w:val="24"/>
        </w:rPr>
        <w:t>20</w:t>
      </w:r>
      <w:r>
        <w:rPr>
          <w:rFonts w:hint="eastAsia" w:ascii="宋体" w:hAnsi="宋体"/>
          <w:sz w:val="24"/>
        </w:rPr>
        <w:t>1</w:t>
      </w:r>
      <w:r>
        <w:rPr>
          <w:rFonts w:ascii="宋体" w:hAnsi="宋体"/>
          <w:sz w:val="24"/>
        </w:rPr>
        <w:t>2</w:t>
      </w:r>
      <w:r>
        <w:rPr>
          <w:rFonts w:hint="eastAsia" w:ascii="宋体" w:hAnsi="宋体"/>
          <w:sz w:val="24"/>
        </w:rPr>
        <w:t>和</w:t>
      </w:r>
      <w:r>
        <w:rPr>
          <w:rFonts w:ascii="宋体" w:hAnsi="宋体"/>
          <w:sz w:val="24"/>
        </w:rPr>
        <w:t>2013年度：第2列＝</w:t>
      </w:r>
      <w:r>
        <w:rPr>
          <w:rFonts w:hint="eastAsia" w:ascii="宋体" w:hAnsi="宋体"/>
          <w:sz w:val="24"/>
        </w:rPr>
        <w:t>《中华人民共和国企业所得税年度纳税申报表（A类）》（2008年版）</w:t>
      </w:r>
      <w:r>
        <w:rPr>
          <w:rFonts w:ascii="宋体" w:hAnsi="宋体"/>
          <w:sz w:val="24"/>
        </w:rPr>
        <w:t>第27-28行。</w:t>
      </w:r>
    </w:p>
    <w:p>
      <w:pPr>
        <w:spacing w:line="360" w:lineRule="auto"/>
        <w:ind w:firstLine="742" w:firstLineChars="309"/>
        <w:rPr>
          <w:rFonts w:ascii="宋体" w:hAnsi="宋体"/>
          <w:sz w:val="24"/>
        </w:rPr>
      </w:pPr>
      <w:r>
        <w:rPr>
          <w:rFonts w:hint="eastAsia" w:ascii="宋体" w:hAnsi="宋体"/>
          <w:sz w:val="24"/>
        </w:rPr>
        <w:t>2014、2015和2016年度：第2列＝《中华人民共和国企业所得税年度纳税申报表（A类）》（2014年版）第25-26行。</w:t>
      </w:r>
    </w:p>
    <w:p>
      <w:pPr>
        <w:spacing w:line="360" w:lineRule="auto"/>
        <w:ind w:firstLine="742" w:firstLineChars="309"/>
        <w:rPr>
          <w:rFonts w:hint="eastAsia" w:ascii="宋体" w:hAnsi="宋体"/>
          <w:color w:val="000000"/>
          <w:sz w:val="24"/>
        </w:rPr>
        <w:sectPr>
          <w:pgSz w:w="11906" w:h="16838"/>
          <w:pgMar w:top="1985" w:right="1418" w:bottom="1928" w:left="1418" w:header="851" w:footer="992" w:gutter="113"/>
          <w:cols w:space="425" w:num="1"/>
          <w:docGrid w:linePitch="312" w:charSpace="0"/>
        </w:sectPr>
      </w:pPr>
    </w:p>
    <w:p>
      <w:pPr>
        <w:pStyle w:val="13"/>
      </w:pPr>
      <w:bookmarkStart w:id="137" w:name="_Toc499456615"/>
      <w:r>
        <w:rPr>
          <w:rFonts w:hint="eastAsia"/>
        </w:rPr>
        <w:t>A108000</w:t>
      </w:r>
      <w:r>
        <w:tab/>
      </w:r>
      <w:r>
        <w:rPr>
          <w:rFonts w:hint="eastAsia"/>
        </w:rPr>
        <w:t>境外所得税收抵免明细表</w:t>
      </w:r>
      <w:bookmarkEnd w:id="137"/>
    </w:p>
    <w:tbl>
      <w:tblPr>
        <w:tblStyle w:val="7"/>
        <w:tblW w:w="1500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1"/>
        <w:gridCol w:w="1426"/>
        <w:gridCol w:w="631"/>
        <w:gridCol w:w="706"/>
        <w:gridCol w:w="751"/>
        <w:gridCol w:w="631"/>
        <w:gridCol w:w="631"/>
        <w:gridCol w:w="735"/>
        <w:gridCol w:w="631"/>
        <w:gridCol w:w="817"/>
        <w:gridCol w:w="631"/>
        <w:gridCol w:w="631"/>
        <w:gridCol w:w="752"/>
        <w:gridCol w:w="772"/>
        <w:gridCol w:w="734"/>
        <w:gridCol w:w="910"/>
        <w:gridCol w:w="708"/>
        <w:gridCol w:w="709"/>
        <w:gridCol w:w="714"/>
        <w:gridCol w:w="8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jc w:val="center"/>
        </w:trPr>
        <w:tc>
          <w:tcPr>
            <w:tcW w:w="631" w:type="dxa"/>
            <w:vMerge w:val="restart"/>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行次</w:t>
            </w:r>
          </w:p>
        </w:tc>
        <w:tc>
          <w:tcPr>
            <w:tcW w:w="1426" w:type="dxa"/>
            <w:vMerge w:val="restart"/>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国家</w:t>
            </w:r>
          </w:p>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（地区）</w:t>
            </w:r>
          </w:p>
        </w:tc>
        <w:tc>
          <w:tcPr>
            <w:tcW w:w="631" w:type="dxa"/>
            <w:vMerge w:val="restart"/>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境外税前所得</w:t>
            </w:r>
          </w:p>
        </w:tc>
        <w:tc>
          <w:tcPr>
            <w:tcW w:w="706" w:type="dxa"/>
            <w:vMerge w:val="restart"/>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境外所得纳税调整后所得</w:t>
            </w:r>
          </w:p>
        </w:tc>
        <w:tc>
          <w:tcPr>
            <w:tcW w:w="751" w:type="dxa"/>
            <w:vMerge w:val="restart"/>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弥补境外以前年度亏损</w:t>
            </w:r>
          </w:p>
        </w:tc>
        <w:tc>
          <w:tcPr>
            <w:tcW w:w="631" w:type="dxa"/>
            <w:vMerge w:val="restart"/>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境外应纳税所得额</w:t>
            </w:r>
          </w:p>
        </w:tc>
        <w:tc>
          <w:tcPr>
            <w:tcW w:w="631" w:type="dxa"/>
            <w:vMerge w:val="restart"/>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抵减境内亏损</w:t>
            </w:r>
          </w:p>
        </w:tc>
        <w:tc>
          <w:tcPr>
            <w:tcW w:w="735" w:type="dxa"/>
            <w:vMerge w:val="restart"/>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抵减境内亏损后的境外应纳税所得额</w:t>
            </w:r>
          </w:p>
        </w:tc>
        <w:tc>
          <w:tcPr>
            <w:tcW w:w="631" w:type="dxa"/>
            <w:vMerge w:val="restart"/>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税率</w:t>
            </w:r>
          </w:p>
        </w:tc>
        <w:tc>
          <w:tcPr>
            <w:tcW w:w="817" w:type="dxa"/>
            <w:vMerge w:val="restart"/>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境外所得应纳税额</w:t>
            </w:r>
          </w:p>
        </w:tc>
        <w:tc>
          <w:tcPr>
            <w:tcW w:w="631" w:type="dxa"/>
            <w:vMerge w:val="restart"/>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境外所得可抵免税额</w:t>
            </w:r>
          </w:p>
        </w:tc>
        <w:tc>
          <w:tcPr>
            <w:tcW w:w="631" w:type="dxa"/>
            <w:vMerge w:val="restart"/>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境外所得抵免限额</w:t>
            </w:r>
          </w:p>
        </w:tc>
        <w:tc>
          <w:tcPr>
            <w:tcW w:w="752" w:type="dxa"/>
            <w:vMerge w:val="restart"/>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本年可抵免境外所得税额</w:t>
            </w:r>
          </w:p>
        </w:tc>
        <w:tc>
          <w:tcPr>
            <w:tcW w:w="772" w:type="dxa"/>
            <w:vMerge w:val="restart"/>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未超过境外所得税抵免限额的余额</w:t>
            </w:r>
          </w:p>
        </w:tc>
        <w:tc>
          <w:tcPr>
            <w:tcW w:w="734" w:type="dxa"/>
            <w:vMerge w:val="restart"/>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本年可抵免以前年度未抵免境外所得税额</w:t>
            </w:r>
          </w:p>
        </w:tc>
        <w:tc>
          <w:tcPr>
            <w:tcW w:w="3041" w:type="dxa"/>
            <w:gridSpan w:val="4"/>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按简易办法计算</w:t>
            </w:r>
          </w:p>
        </w:tc>
        <w:tc>
          <w:tcPr>
            <w:tcW w:w="851" w:type="dxa"/>
            <w:vMerge w:val="restart"/>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境外所得抵免所得税额合计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47" w:hRule="atLeast"/>
          <w:jc w:val="center"/>
        </w:trPr>
        <w:tc>
          <w:tcPr>
            <w:tcW w:w="631" w:type="dxa"/>
            <w:vMerge w:val="continue"/>
            <w:vAlign w:val="center"/>
          </w:tcPr>
          <w:p>
            <w:pPr>
              <w:autoSpaceDE w:val="0"/>
              <w:autoSpaceDN w:val="0"/>
              <w:adjustRightInd w:val="0"/>
              <w:jc w:val="center"/>
              <w:rPr>
                <w:rFonts w:ascii="宋体" w:cs="宋体"/>
                <w:color w:val="000000"/>
                <w:kern w:val="0"/>
                <w:sz w:val="20"/>
                <w:szCs w:val="20"/>
              </w:rPr>
            </w:pPr>
          </w:p>
        </w:tc>
        <w:tc>
          <w:tcPr>
            <w:tcW w:w="1426" w:type="dxa"/>
            <w:vMerge w:val="continue"/>
            <w:vAlign w:val="center"/>
          </w:tcPr>
          <w:p>
            <w:pPr>
              <w:autoSpaceDE w:val="0"/>
              <w:autoSpaceDN w:val="0"/>
              <w:adjustRightInd w:val="0"/>
              <w:jc w:val="center"/>
              <w:rPr>
                <w:rFonts w:ascii="宋体" w:cs="宋体"/>
                <w:color w:val="000000"/>
                <w:kern w:val="0"/>
                <w:sz w:val="20"/>
                <w:szCs w:val="20"/>
              </w:rPr>
            </w:pPr>
          </w:p>
        </w:tc>
        <w:tc>
          <w:tcPr>
            <w:tcW w:w="631" w:type="dxa"/>
            <w:vMerge w:val="continue"/>
            <w:vAlign w:val="center"/>
          </w:tcPr>
          <w:p>
            <w:pPr>
              <w:autoSpaceDE w:val="0"/>
              <w:autoSpaceDN w:val="0"/>
              <w:adjustRightInd w:val="0"/>
              <w:jc w:val="center"/>
              <w:rPr>
                <w:rFonts w:ascii="宋体" w:cs="宋体"/>
                <w:color w:val="000000"/>
                <w:kern w:val="0"/>
                <w:sz w:val="20"/>
                <w:szCs w:val="20"/>
              </w:rPr>
            </w:pPr>
          </w:p>
        </w:tc>
        <w:tc>
          <w:tcPr>
            <w:tcW w:w="706" w:type="dxa"/>
            <w:vMerge w:val="continue"/>
            <w:vAlign w:val="center"/>
          </w:tcPr>
          <w:p>
            <w:pPr>
              <w:autoSpaceDE w:val="0"/>
              <w:autoSpaceDN w:val="0"/>
              <w:adjustRightInd w:val="0"/>
              <w:jc w:val="center"/>
              <w:rPr>
                <w:rFonts w:ascii="宋体" w:cs="宋体"/>
                <w:color w:val="000000"/>
                <w:kern w:val="0"/>
                <w:sz w:val="20"/>
                <w:szCs w:val="20"/>
              </w:rPr>
            </w:pPr>
          </w:p>
        </w:tc>
        <w:tc>
          <w:tcPr>
            <w:tcW w:w="751" w:type="dxa"/>
            <w:vMerge w:val="continue"/>
            <w:vAlign w:val="center"/>
          </w:tcPr>
          <w:p>
            <w:pPr>
              <w:autoSpaceDE w:val="0"/>
              <w:autoSpaceDN w:val="0"/>
              <w:adjustRightInd w:val="0"/>
              <w:jc w:val="center"/>
              <w:rPr>
                <w:rFonts w:ascii="宋体" w:cs="宋体"/>
                <w:color w:val="000000"/>
                <w:kern w:val="0"/>
                <w:sz w:val="20"/>
                <w:szCs w:val="20"/>
              </w:rPr>
            </w:pPr>
          </w:p>
        </w:tc>
        <w:tc>
          <w:tcPr>
            <w:tcW w:w="631" w:type="dxa"/>
            <w:vMerge w:val="continue"/>
            <w:vAlign w:val="center"/>
          </w:tcPr>
          <w:p>
            <w:pPr>
              <w:autoSpaceDE w:val="0"/>
              <w:autoSpaceDN w:val="0"/>
              <w:adjustRightInd w:val="0"/>
              <w:jc w:val="center"/>
              <w:rPr>
                <w:rFonts w:ascii="宋体" w:cs="宋体"/>
                <w:color w:val="000000"/>
                <w:kern w:val="0"/>
                <w:sz w:val="20"/>
                <w:szCs w:val="20"/>
              </w:rPr>
            </w:pPr>
          </w:p>
        </w:tc>
        <w:tc>
          <w:tcPr>
            <w:tcW w:w="631" w:type="dxa"/>
            <w:vMerge w:val="continue"/>
            <w:vAlign w:val="center"/>
          </w:tcPr>
          <w:p>
            <w:pPr>
              <w:autoSpaceDE w:val="0"/>
              <w:autoSpaceDN w:val="0"/>
              <w:adjustRightInd w:val="0"/>
              <w:jc w:val="center"/>
              <w:rPr>
                <w:rFonts w:ascii="宋体" w:cs="宋体"/>
                <w:color w:val="000000"/>
                <w:kern w:val="0"/>
                <w:sz w:val="20"/>
                <w:szCs w:val="20"/>
              </w:rPr>
            </w:pPr>
          </w:p>
        </w:tc>
        <w:tc>
          <w:tcPr>
            <w:tcW w:w="735" w:type="dxa"/>
            <w:vMerge w:val="continue"/>
            <w:vAlign w:val="center"/>
          </w:tcPr>
          <w:p>
            <w:pPr>
              <w:autoSpaceDE w:val="0"/>
              <w:autoSpaceDN w:val="0"/>
              <w:adjustRightInd w:val="0"/>
              <w:jc w:val="center"/>
              <w:rPr>
                <w:rFonts w:ascii="宋体" w:cs="宋体"/>
                <w:color w:val="000000"/>
                <w:kern w:val="0"/>
                <w:sz w:val="20"/>
                <w:szCs w:val="20"/>
              </w:rPr>
            </w:pPr>
          </w:p>
        </w:tc>
        <w:tc>
          <w:tcPr>
            <w:tcW w:w="631" w:type="dxa"/>
            <w:vMerge w:val="continue"/>
            <w:vAlign w:val="center"/>
          </w:tcPr>
          <w:p>
            <w:pPr>
              <w:autoSpaceDE w:val="0"/>
              <w:autoSpaceDN w:val="0"/>
              <w:adjustRightInd w:val="0"/>
              <w:jc w:val="center"/>
              <w:rPr>
                <w:rFonts w:ascii="宋体" w:cs="宋体"/>
                <w:color w:val="000000"/>
                <w:kern w:val="0"/>
                <w:sz w:val="20"/>
                <w:szCs w:val="20"/>
              </w:rPr>
            </w:pPr>
          </w:p>
        </w:tc>
        <w:tc>
          <w:tcPr>
            <w:tcW w:w="817" w:type="dxa"/>
            <w:vMerge w:val="continue"/>
            <w:vAlign w:val="center"/>
          </w:tcPr>
          <w:p>
            <w:pPr>
              <w:autoSpaceDE w:val="0"/>
              <w:autoSpaceDN w:val="0"/>
              <w:adjustRightInd w:val="0"/>
              <w:jc w:val="center"/>
              <w:rPr>
                <w:rFonts w:ascii="宋体" w:cs="宋体"/>
                <w:color w:val="000000"/>
                <w:kern w:val="0"/>
                <w:sz w:val="20"/>
                <w:szCs w:val="20"/>
              </w:rPr>
            </w:pPr>
          </w:p>
        </w:tc>
        <w:tc>
          <w:tcPr>
            <w:tcW w:w="631" w:type="dxa"/>
            <w:vMerge w:val="continue"/>
            <w:vAlign w:val="center"/>
          </w:tcPr>
          <w:p>
            <w:pPr>
              <w:autoSpaceDE w:val="0"/>
              <w:autoSpaceDN w:val="0"/>
              <w:adjustRightInd w:val="0"/>
              <w:jc w:val="center"/>
              <w:rPr>
                <w:rFonts w:ascii="宋体" w:cs="宋体"/>
                <w:color w:val="000000"/>
                <w:kern w:val="0"/>
                <w:sz w:val="20"/>
                <w:szCs w:val="20"/>
              </w:rPr>
            </w:pPr>
          </w:p>
        </w:tc>
        <w:tc>
          <w:tcPr>
            <w:tcW w:w="631" w:type="dxa"/>
            <w:vMerge w:val="continue"/>
            <w:vAlign w:val="center"/>
          </w:tcPr>
          <w:p>
            <w:pPr>
              <w:autoSpaceDE w:val="0"/>
              <w:autoSpaceDN w:val="0"/>
              <w:adjustRightInd w:val="0"/>
              <w:jc w:val="center"/>
              <w:rPr>
                <w:rFonts w:ascii="宋体" w:cs="宋体"/>
                <w:color w:val="000000"/>
                <w:kern w:val="0"/>
                <w:sz w:val="20"/>
                <w:szCs w:val="20"/>
              </w:rPr>
            </w:pPr>
          </w:p>
        </w:tc>
        <w:tc>
          <w:tcPr>
            <w:tcW w:w="752" w:type="dxa"/>
            <w:vMerge w:val="continue"/>
            <w:vAlign w:val="center"/>
          </w:tcPr>
          <w:p>
            <w:pPr>
              <w:autoSpaceDE w:val="0"/>
              <w:autoSpaceDN w:val="0"/>
              <w:adjustRightInd w:val="0"/>
              <w:jc w:val="center"/>
              <w:rPr>
                <w:rFonts w:ascii="宋体" w:cs="宋体"/>
                <w:color w:val="000000"/>
                <w:kern w:val="0"/>
                <w:sz w:val="20"/>
                <w:szCs w:val="20"/>
              </w:rPr>
            </w:pPr>
          </w:p>
        </w:tc>
        <w:tc>
          <w:tcPr>
            <w:tcW w:w="772" w:type="dxa"/>
            <w:vMerge w:val="continue"/>
            <w:vAlign w:val="center"/>
          </w:tcPr>
          <w:p>
            <w:pPr>
              <w:autoSpaceDE w:val="0"/>
              <w:autoSpaceDN w:val="0"/>
              <w:adjustRightInd w:val="0"/>
              <w:jc w:val="center"/>
              <w:rPr>
                <w:rFonts w:ascii="宋体" w:cs="宋体"/>
                <w:color w:val="000000"/>
                <w:kern w:val="0"/>
                <w:sz w:val="20"/>
                <w:szCs w:val="20"/>
              </w:rPr>
            </w:pPr>
          </w:p>
        </w:tc>
        <w:tc>
          <w:tcPr>
            <w:tcW w:w="734" w:type="dxa"/>
            <w:vMerge w:val="continue"/>
            <w:vAlign w:val="center"/>
          </w:tcPr>
          <w:p>
            <w:pPr>
              <w:autoSpaceDE w:val="0"/>
              <w:autoSpaceDN w:val="0"/>
              <w:adjustRightInd w:val="0"/>
              <w:jc w:val="center"/>
              <w:rPr>
                <w:rFonts w:ascii="宋体" w:cs="宋体"/>
                <w:color w:val="000000"/>
                <w:kern w:val="0"/>
                <w:sz w:val="20"/>
                <w:szCs w:val="20"/>
              </w:rPr>
            </w:pPr>
          </w:p>
        </w:tc>
        <w:tc>
          <w:tcPr>
            <w:tcW w:w="910" w:type="dxa"/>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按低于</w:t>
            </w:r>
            <w:r>
              <w:rPr>
                <w:rFonts w:ascii="宋体" w:cs="宋体"/>
                <w:color w:val="000000"/>
                <w:kern w:val="0"/>
                <w:sz w:val="20"/>
                <w:szCs w:val="20"/>
              </w:rPr>
              <w:t>12.5%</w:t>
            </w:r>
            <w:r>
              <w:rPr>
                <w:rFonts w:hint="eastAsia" w:ascii="宋体" w:cs="宋体"/>
                <w:color w:val="000000"/>
                <w:kern w:val="0"/>
                <w:sz w:val="20"/>
                <w:szCs w:val="20"/>
              </w:rPr>
              <w:t>的实际税率计算的抵免额</w:t>
            </w:r>
          </w:p>
        </w:tc>
        <w:tc>
          <w:tcPr>
            <w:tcW w:w="708" w:type="dxa"/>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按</w:t>
            </w:r>
            <w:r>
              <w:rPr>
                <w:rFonts w:ascii="宋体" w:cs="宋体"/>
                <w:color w:val="000000"/>
                <w:kern w:val="0"/>
                <w:sz w:val="20"/>
                <w:szCs w:val="20"/>
              </w:rPr>
              <w:t>12.5%</w:t>
            </w:r>
            <w:r>
              <w:rPr>
                <w:rFonts w:hint="eastAsia" w:ascii="宋体" w:cs="宋体"/>
                <w:color w:val="000000"/>
                <w:kern w:val="0"/>
                <w:sz w:val="20"/>
                <w:szCs w:val="20"/>
              </w:rPr>
              <w:t>计算的抵免额</w:t>
            </w:r>
          </w:p>
        </w:tc>
        <w:tc>
          <w:tcPr>
            <w:tcW w:w="709" w:type="dxa"/>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按</w:t>
            </w:r>
            <w:r>
              <w:rPr>
                <w:rFonts w:ascii="宋体" w:cs="宋体"/>
                <w:color w:val="000000"/>
                <w:kern w:val="0"/>
                <w:sz w:val="20"/>
                <w:szCs w:val="20"/>
              </w:rPr>
              <w:t>25%</w:t>
            </w:r>
            <w:r>
              <w:rPr>
                <w:rFonts w:hint="eastAsia" w:ascii="宋体" w:cs="宋体"/>
                <w:color w:val="000000"/>
                <w:kern w:val="0"/>
                <w:sz w:val="20"/>
                <w:szCs w:val="20"/>
              </w:rPr>
              <w:t>计算的抵免额</w:t>
            </w:r>
          </w:p>
        </w:tc>
        <w:tc>
          <w:tcPr>
            <w:tcW w:w="714" w:type="dxa"/>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小计</w:t>
            </w:r>
          </w:p>
        </w:tc>
        <w:tc>
          <w:tcPr>
            <w:tcW w:w="851" w:type="dxa"/>
            <w:vMerge w:val="continue"/>
            <w:vAlign w:val="top"/>
          </w:tcPr>
          <w:p>
            <w:pPr>
              <w:autoSpaceDE w:val="0"/>
              <w:autoSpaceDN w:val="0"/>
              <w:adjustRightInd w:val="0"/>
              <w:jc w:val="center"/>
              <w:rPr>
                <w:rFonts w:asci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jc w:val="center"/>
        </w:trPr>
        <w:tc>
          <w:tcPr>
            <w:tcW w:w="631" w:type="dxa"/>
            <w:vMerge w:val="continue"/>
            <w:vAlign w:val="top"/>
          </w:tcPr>
          <w:p>
            <w:pPr>
              <w:autoSpaceDE w:val="0"/>
              <w:autoSpaceDN w:val="0"/>
              <w:adjustRightInd w:val="0"/>
              <w:jc w:val="center"/>
              <w:rPr>
                <w:rFonts w:ascii="宋体" w:cs="宋体"/>
                <w:color w:val="000000"/>
                <w:kern w:val="0"/>
                <w:sz w:val="20"/>
                <w:szCs w:val="20"/>
              </w:rPr>
            </w:pPr>
          </w:p>
        </w:tc>
        <w:tc>
          <w:tcPr>
            <w:tcW w:w="1426" w:type="dxa"/>
            <w:vAlign w:val="top"/>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w:t>
            </w:r>
          </w:p>
        </w:tc>
        <w:tc>
          <w:tcPr>
            <w:tcW w:w="631" w:type="dxa"/>
            <w:vAlign w:val="top"/>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2</w:t>
            </w:r>
          </w:p>
        </w:tc>
        <w:tc>
          <w:tcPr>
            <w:tcW w:w="706" w:type="dxa"/>
            <w:vAlign w:val="top"/>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3</w:t>
            </w:r>
          </w:p>
        </w:tc>
        <w:tc>
          <w:tcPr>
            <w:tcW w:w="751" w:type="dxa"/>
            <w:vAlign w:val="top"/>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4</w:t>
            </w:r>
          </w:p>
        </w:tc>
        <w:tc>
          <w:tcPr>
            <w:tcW w:w="631" w:type="dxa"/>
            <w:vAlign w:val="top"/>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5</w:t>
            </w:r>
          </w:p>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(3-4</w:t>
            </w:r>
            <w:r>
              <w:rPr>
                <w:rFonts w:hint="eastAsia" w:ascii="宋体" w:cs="宋体"/>
                <w:color w:val="000000"/>
                <w:kern w:val="0"/>
                <w:sz w:val="20"/>
                <w:szCs w:val="20"/>
              </w:rPr>
              <w:t>)</w:t>
            </w:r>
          </w:p>
        </w:tc>
        <w:tc>
          <w:tcPr>
            <w:tcW w:w="631" w:type="dxa"/>
            <w:vAlign w:val="top"/>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6</w:t>
            </w:r>
          </w:p>
        </w:tc>
        <w:tc>
          <w:tcPr>
            <w:tcW w:w="735" w:type="dxa"/>
            <w:vAlign w:val="top"/>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7</w:t>
            </w:r>
          </w:p>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w:t>
            </w:r>
            <w:r>
              <w:rPr>
                <w:rFonts w:ascii="宋体" w:cs="宋体"/>
                <w:color w:val="000000"/>
                <w:kern w:val="0"/>
                <w:sz w:val="20"/>
                <w:szCs w:val="20"/>
              </w:rPr>
              <w:t>5-6</w:t>
            </w:r>
            <w:r>
              <w:rPr>
                <w:rFonts w:hint="eastAsia" w:ascii="宋体" w:cs="宋体"/>
                <w:color w:val="000000"/>
                <w:kern w:val="0"/>
                <w:sz w:val="20"/>
                <w:szCs w:val="20"/>
              </w:rPr>
              <w:t>)</w:t>
            </w:r>
          </w:p>
        </w:tc>
        <w:tc>
          <w:tcPr>
            <w:tcW w:w="631" w:type="dxa"/>
            <w:vAlign w:val="top"/>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8</w:t>
            </w:r>
          </w:p>
        </w:tc>
        <w:tc>
          <w:tcPr>
            <w:tcW w:w="817" w:type="dxa"/>
            <w:vAlign w:val="top"/>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9</w:t>
            </w:r>
          </w:p>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w:t>
            </w:r>
            <w:r>
              <w:rPr>
                <w:rFonts w:ascii="宋体" w:cs="宋体"/>
                <w:color w:val="000000"/>
                <w:kern w:val="0"/>
                <w:sz w:val="20"/>
                <w:szCs w:val="20"/>
              </w:rPr>
              <w:t>7</w:t>
            </w:r>
            <w:r>
              <w:rPr>
                <w:rFonts w:hint="eastAsia" w:ascii="宋体" w:cs="宋体"/>
                <w:color w:val="000000"/>
                <w:kern w:val="0"/>
                <w:sz w:val="20"/>
                <w:szCs w:val="20"/>
              </w:rPr>
              <w:t>×</w:t>
            </w:r>
            <w:r>
              <w:rPr>
                <w:rFonts w:ascii="宋体" w:cs="宋体"/>
                <w:color w:val="000000"/>
                <w:kern w:val="0"/>
                <w:sz w:val="20"/>
                <w:szCs w:val="20"/>
              </w:rPr>
              <w:t>8</w:t>
            </w:r>
            <w:r>
              <w:rPr>
                <w:rFonts w:hint="eastAsia" w:ascii="宋体" w:cs="宋体"/>
                <w:color w:val="000000"/>
                <w:kern w:val="0"/>
                <w:sz w:val="20"/>
                <w:szCs w:val="20"/>
              </w:rPr>
              <w:t>)</w:t>
            </w:r>
          </w:p>
        </w:tc>
        <w:tc>
          <w:tcPr>
            <w:tcW w:w="631" w:type="dxa"/>
            <w:vAlign w:val="top"/>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10</w:t>
            </w:r>
          </w:p>
        </w:tc>
        <w:tc>
          <w:tcPr>
            <w:tcW w:w="631" w:type="dxa"/>
            <w:vAlign w:val="top"/>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11</w:t>
            </w:r>
          </w:p>
        </w:tc>
        <w:tc>
          <w:tcPr>
            <w:tcW w:w="752" w:type="dxa"/>
            <w:vAlign w:val="top"/>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12</w:t>
            </w:r>
          </w:p>
        </w:tc>
        <w:tc>
          <w:tcPr>
            <w:tcW w:w="772" w:type="dxa"/>
            <w:vAlign w:val="top"/>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13</w:t>
            </w:r>
          </w:p>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w:t>
            </w:r>
            <w:r>
              <w:rPr>
                <w:rFonts w:ascii="宋体" w:cs="宋体"/>
                <w:color w:val="000000"/>
                <w:kern w:val="0"/>
                <w:sz w:val="20"/>
                <w:szCs w:val="20"/>
              </w:rPr>
              <w:t>11-12</w:t>
            </w:r>
            <w:r>
              <w:rPr>
                <w:rFonts w:hint="eastAsia" w:ascii="宋体" w:cs="宋体"/>
                <w:color w:val="000000"/>
                <w:kern w:val="0"/>
                <w:sz w:val="20"/>
                <w:szCs w:val="20"/>
              </w:rPr>
              <w:t>)</w:t>
            </w:r>
          </w:p>
        </w:tc>
        <w:tc>
          <w:tcPr>
            <w:tcW w:w="734" w:type="dxa"/>
            <w:vAlign w:val="top"/>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14</w:t>
            </w:r>
          </w:p>
        </w:tc>
        <w:tc>
          <w:tcPr>
            <w:tcW w:w="910" w:type="dxa"/>
            <w:vAlign w:val="top"/>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15</w:t>
            </w:r>
          </w:p>
        </w:tc>
        <w:tc>
          <w:tcPr>
            <w:tcW w:w="708" w:type="dxa"/>
            <w:vAlign w:val="top"/>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16</w:t>
            </w:r>
          </w:p>
        </w:tc>
        <w:tc>
          <w:tcPr>
            <w:tcW w:w="709" w:type="dxa"/>
            <w:vAlign w:val="top"/>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17</w:t>
            </w:r>
          </w:p>
        </w:tc>
        <w:tc>
          <w:tcPr>
            <w:tcW w:w="714" w:type="dxa"/>
            <w:vAlign w:val="top"/>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18</w:t>
            </w:r>
            <w:r>
              <w:rPr>
                <w:rFonts w:hint="eastAsia" w:ascii="宋体" w:cs="宋体"/>
                <w:color w:val="000000"/>
                <w:kern w:val="0"/>
                <w:sz w:val="20"/>
                <w:szCs w:val="20"/>
              </w:rPr>
              <w:t>(</w:t>
            </w:r>
            <w:r>
              <w:rPr>
                <w:rFonts w:ascii="宋体" w:cs="宋体"/>
                <w:color w:val="000000"/>
                <w:kern w:val="0"/>
                <w:sz w:val="20"/>
                <w:szCs w:val="20"/>
              </w:rPr>
              <w:t>15+</w:t>
            </w:r>
            <w:r>
              <w:rPr>
                <w:rFonts w:ascii="宋体" w:cs="宋体"/>
                <w:color w:val="000000"/>
                <w:kern w:val="0"/>
                <w:sz w:val="20"/>
                <w:szCs w:val="20"/>
              </w:rPr>
              <w:br w:type="textWrapping"/>
            </w:r>
            <w:r>
              <w:rPr>
                <w:rFonts w:ascii="宋体" w:cs="宋体"/>
                <w:color w:val="000000"/>
                <w:kern w:val="0"/>
                <w:sz w:val="20"/>
                <w:szCs w:val="20"/>
              </w:rPr>
              <w:t>16+17</w:t>
            </w:r>
            <w:r>
              <w:rPr>
                <w:rFonts w:hint="eastAsia" w:ascii="宋体" w:cs="宋体"/>
                <w:color w:val="000000"/>
                <w:kern w:val="0"/>
                <w:sz w:val="20"/>
                <w:szCs w:val="20"/>
              </w:rPr>
              <w:t>)</w:t>
            </w:r>
          </w:p>
        </w:tc>
        <w:tc>
          <w:tcPr>
            <w:tcW w:w="851" w:type="dxa"/>
            <w:vAlign w:val="top"/>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19</w:t>
            </w:r>
            <w:r>
              <w:rPr>
                <w:rFonts w:hint="eastAsia" w:ascii="宋体" w:cs="宋体"/>
                <w:color w:val="000000"/>
                <w:kern w:val="0"/>
                <w:sz w:val="20"/>
                <w:szCs w:val="20"/>
              </w:rPr>
              <w:t>(</w:t>
            </w:r>
            <w:r>
              <w:rPr>
                <w:rFonts w:ascii="宋体" w:cs="宋体"/>
                <w:color w:val="000000"/>
                <w:kern w:val="0"/>
                <w:sz w:val="20"/>
                <w:szCs w:val="20"/>
              </w:rPr>
              <w:t>12+14+18</w:t>
            </w:r>
            <w:r>
              <w:rPr>
                <w:rFonts w:hint="eastAsia" w:ascii="宋体" w:cs="宋体"/>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31" w:type="dxa"/>
            <w:vAlign w:val="center"/>
          </w:tcPr>
          <w:p>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1</w:t>
            </w:r>
          </w:p>
        </w:tc>
        <w:tc>
          <w:tcPr>
            <w:tcW w:w="1426" w:type="dxa"/>
            <w:vAlign w:val="center"/>
          </w:tcPr>
          <w:p>
            <w:pPr>
              <w:autoSpaceDE w:val="0"/>
              <w:autoSpaceDN w:val="0"/>
              <w:adjustRightInd w:val="0"/>
              <w:jc w:val="center"/>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06" w:type="dxa"/>
            <w:vAlign w:val="center"/>
          </w:tcPr>
          <w:p>
            <w:pPr>
              <w:autoSpaceDE w:val="0"/>
              <w:autoSpaceDN w:val="0"/>
              <w:adjustRightInd w:val="0"/>
              <w:jc w:val="right"/>
              <w:rPr>
                <w:rFonts w:ascii="宋体" w:cs="宋体"/>
                <w:color w:val="000000"/>
                <w:kern w:val="0"/>
                <w:sz w:val="20"/>
                <w:szCs w:val="20"/>
              </w:rPr>
            </w:pPr>
          </w:p>
        </w:tc>
        <w:tc>
          <w:tcPr>
            <w:tcW w:w="75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35"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817"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52" w:type="dxa"/>
            <w:vAlign w:val="center"/>
          </w:tcPr>
          <w:p>
            <w:pPr>
              <w:autoSpaceDE w:val="0"/>
              <w:autoSpaceDN w:val="0"/>
              <w:adjustRightInd w:val="0"/>
              <w:jc w:val="right"/>
              <w:rPr>
                <w:rFonts w:ascii="宋体" w:cs="宋体"/>
                <w:color w:val="000000"/>
                <w:kern w:val="0"/>
                <w:sz w:val="20"/>
                <w:szCs w:val="20"/>
              </w:rPr>
            </w:pPr>
          </w:p>
        </w:tc>
        <w:tc>
          <w:tcPr>
            <w:tcW w:w="772" w:type="dxa"/>
            <w:vAlign w:val="center"/>
          </w:tcPr>
          <w:p>
            <w:pPr>
              <w:autoSpaceDE w:val="0"/>
              <w:autoSpaceDN w:val="0"/>
              <w:adjustRightInd w:val="0"/>
              <w:jc w:val="right"/>
              <w:rPr>
                <w:rFonts w:ascii="宋体" w:cs="宋体"/>
                <w:color w:val="000000"/>
                <w:kern w:val="0"/>
                <w:sz w:val="20"/>
                <w:szCs w:val="20"/>
              </w:rPr>
            </w:pPr>
          </w:p>
        </w:tc>
        <w:tc>
          <w:tcPr>
            <w:tcW w:w="734" w:type="dxa"/>
            <w:vAlign w:val="center"/>
          </w:tcPr>
          <w:p>
            <w:pPr>
              <w:autoSpaceDE w:val="0"/>
              <w:autoSpaceDN w:val="0"/>
              <w:adjustRightInd w:val="0"/>
              <w:jc w:val="right"/>
              <w:rPr>
                <w:rFonts w:ascii="宋体" w:cs="宋体"/>
                <w:color w:val="000000"/>
                <w:kern w:val="0"/>
                <w:sz w:val="20"/>
                <w:szCs w:val="20"/>
              </w:rPr>
            </w:pPr>
          </w:p>
        </w:tc>
        <w:tc>
          <w:tcPr>
            <w:tcW w:w="910" w:type="dxa"/>
            <w:vAlign w:val="center"/>
          </w:tcPr>
          <w:p>
            <w:pPr>
              <w:autoSpaceDE w:val="0"/>
              <w:autoSpaceDN w:val="0"/>
              <w:adjustRightInd w:val="0"/>
              <w:jc w:val="right"/>
              <w:rPr>
                <w:rFonts w:ascii="宋体" w:cs="宋体"/>
                <w:color w:val="000000"/>
                <w:kern w:val="0"/>
                <w:sz w:val="20"/>
                <w:szCs w:val="20"/>
              </w:rPr>
            </w:pPr>
          </w:p>
        </w:tc>
        <w:tc>
          <w:tcPr>
            <w:tcW w:w="708" w:type="dxa"/>
            <w:vAlign w:val="center"/>
          </w:tcPr>
          <w:p>
            <w:pPr>
              <w:autoSpaceDE w:val="0"/>
              <w:autoSpaceDN w:val="0"/>
              <w:adjustRightInd w:val="0"/>
              <w:jc w:val="right"/>
              <w:rPr>
                <w:rFonts w:ascii="宋体" w:cs="宋体"/>
                <w:color w:val="000000"/>
                <w:kern w:val="0"/>
                <w:sz w:val="20"/>
                <w:szCs w:val="20"/>
              </w:rPr>
            </w:pPr>
          </w:p>
        </w:tc>
        <w:tc>
          <w:tcPr>
            <w:tcW w:w="709" w:type="dxa"/>
            <w:vAlign w:val="center"/>
          </w:tcPr>
          <w:p>
            <w:pPr>
              <w:autoSpaceDE w:val="0"/>
              <w:autoSpaceDN w:val="0"/>
              <w:adjustRightInd w:val="0"/>
              <w:jc w:val="right"/>
              <w:rPr>
                <w:rFonts w:ascii="宋体" w:cs="宋体"/>
                <w:color w:val="000000"/>
                <w:kern w:val="0"/>
                <w:sz w:val="20"/>
                <w:szCs w:val="20"/>
              </w:rPr>
            </w:pPr>
          </w:p>
        </w:tc>
        <w:tc>
          <w:tcPr>
            <w:tcW w:w="714" w:type="dxa"/>
            <w:vAlign w:val="center"/>
          </w:tcPr>
          <w:p>
            <w:pPr>
              <w:autoSpaceDE w:val="0"/>
              <w:autoSpaceDN w:val="0"/>
              <w:adjustRightInd w:val="0"/>
              <w:jc w:val="right"/>
              <w:rPr>
                <w:rFonts w:ascii="宋体" w:cs="宋体"/>
                <w:color w:val="000000"/>
                <w:kern w:val="0"/>
                <w:sz w:val="20"/>
                <w:szCs w:val="20"/>
              </w:rPr>
            </w:pPr>
          </w:p>
        </w:tc>
        <w:tc>
          <w:tcPr>
            <w:tcW w:w="851" w:type="dxa"/>
            <w:vAlign w:val="center"/>
          </w:tcPr>
          <w:p>
            <w:pPr>
              <w:autoSpaceDE w:val="0"/>
              <w:autoSpaceDN w:val="0"/>
              <w:adjustRightInd w:val="0"/>
              <w:jc w:val="right"/>
              <w:rPr>
                <w:rFonts w:asci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31" w:type="dxa"/>
            <w:vAlign w:val="center"/>
          </w:tcPr>
          <w:p>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2</w:t>
            </w:r>
          </w:p>
        </w:tc>
        <w:tc>
          <w:tcPr>
            <w:tcW w:w="1426" w:type="dxa"/>
            <w:vAlign w:val="center"/>
          </w:tcPr>
          <w:p>
            <w:pPr>
              <w:autoSpaceDE w:val="0"/>
              <w:autoSpaceDN w:val="0"/>
              <w:adjustRightInd w:val="0"/>
              <w:jc w:val="center"/>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06" w:type="dxa"/>
            <w:vAlign w:val="center"/>
          </w:tcPr>
          <w:p>
            <w:pPr>
              <w:autoSpaceDE w:val="0"/>
              <w:autoSpaceDN w:val="0"/>
              <w:adjustRightInd w:val="0"/>
              <w:jc w:val="right"/>
              <w:rPr>
                <w:rFonts w:ascii="宋体" w:cs="宋体"/>
                <w:color w:val="000000"/>
                <w:kern w:val="0"/>
                <w:sz w:val="20"/>
                <w:szCs w:val="20"/>
              </w:rPr>
            </w:pPr>
          </w:p>
        </w:tc>
        <w:tc>
          <w:tcPr>
            <w:tcW w:w="75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35"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817"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52" w:type="dxa"/>
            <w:vAlign w:val="center"/>
          </w:tcPr>
          <w:p>
            <w:pPr>
              <w:autoSpaceDE w:val="0"/>
              <w:autoSpaceDN w:val="0"/>
              <w:adjustRightInd w:val="0"/>
              <w:jc w:val="right"/>
              <w:rPr>
                <w:rFonts w:ascii="宋体" w:cs="宋体"/>
                <w:color w:val="000000"/>
                <w:kern w:val="0"/>
                <w:sz w:val="20"/>
                <w:szCs w:val="20"/>
              </w:rPr>
            </w:pPr>
          </w:p>
        </w:tc>
        <w:tc>
          <w:tcPr>
            <w:tcW w:w="772" w:type="dxa"/>
            <w:vAlign w:val="center"/>
          </w:tcPr>
          <w:p>
            <w:pPr>
              <w:autoSpaceDE w:val="0"/>
              <w:autoSpaceDN w:val="0"/>
              <w:adjustRightInd w:val="0"/>
              <w:jc w:val="right"/>
              <w:rPr>
                <w:rFonts w:ascii="宋体" w:cs="宋体"/>
                <w:color w:val="000000"/>
                <w:kern w:val="0"/>
                <w:sz w:val="20"/>
                <w:szCs w:val="20"/>
              </w:rPr>
            </w:pPr>
          </w:p>
        </w:tc>
        <w:tc>
          <w:tcPr>
            <w:tcW w:w="734" w:type="dxa"/>
            <w:vAlign w:val="center"/>
          </w:tcPr>
          <w:p>
            <w:pPr>
              <w:autoSpaceDE w:val="0"/>
              <w:autoSpaceDN w:val="0"/>
              <w:adjustRightInd w:val="0"/>
              <w:jc w:val="right"/>
              <w:rPr>
                <w:rFonts w:ascii="宋体" w:cs="宋体"/>
                <w:color w:val="000000"/>
                <w:kern w:val="0"/>
                <w:sz w:val="20"/>
                <w:szCs w:val="20"/>
              </w:rPr>
            </w:pPr>
          </w:p>
        </w:tc>
        <w:tc>
          <w:tcPr>
            <w:tcW w:w="910" w:type="dxa"/>
            <w:vAlign w:val="center"/>
          </w:tcPr>
          <w:p>
            <w:pPr>
              <w:autoSpaceDE w:val="0"/>
              <w:autoSpaceDN w:val="0"/>
              <w:adjustRightInd w:val="0"/>
              <w:jc w:val="right"/>
              <w:rPr>
                <w:rFonts w:ascii="宋体" w:cs="宋体"/>
                <w:color w:val="000000"/>
                <w:kern w:val="0"/>
                <w:sz w:val="20"/>
                <w:szCs w:val="20"/>
              </w:rPr>
            </w:pPr>
          </w:p>
        </w:tc>
        <w:tc>
          <w:tcPr>
            <w:tcW w:w="708" w:type="dxa"/>
            <w:vAlign w:val="center"/>
          </w:tcPr>
          <w:p>
            <w:pPr>
              <w:autoSpaceDE w:val="0"/>
              <w:autoSpaceDN w:val="0"/>
              <w:adjustRightInd w:val="0"/>
              <w:jc w:val="right"/>
              <w:rPr>
                <w:rFonts w:ascii="宋体" w:cs="宋体"/>
                <w:color w:val="000000"/>
                <w:kern w:val="0"/>
                <w:sz w:val="20"/>
                <w:szCs w:val="20"/>
              </w:rPr>
            </w:pPr>
          </w:p>
        </w:tc>
        <w:tc>
          <w:tcPr>
            <w:tcW w:w="709" w:type="dxa"/>
            <w:vAlign w:val="center"/>
          </w:tcPr>
          <w:p>
            <w:pPr>
              <w:autoSpaceDE w:val="0"/>
              <w:autoSpaceDN w:val="0"/>
              <w:adjustRightInd w:val="0"/>
              <w:jc w:val="right"/>
              <w:rPr>
                <w:rFonts w:ascii="宋体" w:cs="宋体"/>
                <w:color w:val="000000"/>
                <w:kern w:val="0"/>
                <w:sz w:val="20"/>
                <w:szCs w:val="20"/>
              </w:rPr>
            </w:pPr>
          </w:p>
        </w:tc>
        <w:tc>
          <w:tcPr>
            <w:tcW w:w="714" w:type="dxa"/>
            <w:vAlign w:val="center"/>
          </w:tcPr>
          <w:p>
            <w:pPr>
              <w:autoSpaceDE w:val="0"/>
              <w:autoSpaceDN w:val="0"/>
              <w:adjustRightInd w:val="0"/>
              <w:jc w:val="right"/>
              <w:rPr>
                <w:rFonts w:ascii="宋体" w:cs="宋体"/>
                <w:color w:val="000000"/>
                <w:kern w:val="0"/>
                <w:sz w:val="20"/>
                <w:szCs w:val="20"/>
              </w:rPr>
            </w:pPr>
          </w:p>
        </w:tc>
        <w:tc>
          <w:tcPr>
            <w:tcW w:w="851" w:type="dxa"/>
            <w:vAlign w:val="center"/>
          </w:tcPr>
          <w:p>
            <w:pPr>
              <w:autoSpaceDE w:val="0"/>
              <w:autoSpaceDN w:val="0"/>
              <w:adjustRightInd w:val="0"/>
              <w:jc w:val="right"/>
              <w:rPr>
                <w:rFonts w:asci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31" w:type="dxa"/>
            <w:vAlign w:val="center"/>
          </w:tcPr>
          <w:p>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3</w:t>
            </w:r>
          </w:p>
        </w:tc>
        <w:tc>
          <w:tcPr>
            <w:tcW w:w="1426" w:type="dxa"/>
            <w:vAlign w:val="center"/>
          </w:tcPr>
          <w:p>
            <w:pPr>
              <w:autoSpaceDE w:val="0"/>
              <w:autoSpaceDN w:val="0"/>
              <w:adjustRightInd w:val="0"/>
              <w:jc w:val="center"/>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06" w:type="dxa"/>
            <w:vAlign w:val="center"/>
          </w:tcPr>
          <w:p>
            <w:pPr>
              <w:autoSpaceDE w:val="0"/>
              <w:autoSpaceDN w:val="0"/>
              <w:adjustRightInd w:val="0"/>
              <w:jc w:val="right"/>
              <w:rPr>
                <w:rFonts w:ascii="宋体" w:cs="宋体"/>
                <w:color w:val="000000"/>
                <w:kern w:val="0"/>
                <w:sz w:val="20"/>
                <w:szCs w:val="20"/>
              </w:rPr>
            </w:pPr>
          </w:p>
        </w:tc>
        <w:tc>
          <w:tcPr>
            <w:tcW w:w="75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35"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817"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52" w:type="dxa"/>
            <w:vAlign w:val="center"/>
          </w:tcPr>
          <w:p>
            <w:pPr>
              <w:autoSpaceDE w:val="0"/>
              <w:autoSpaceDN w:val="0"/>
              <w:adjustRightInd w:val="0"/>
              <w:jc w:val="right"/>
              <w:rPr>
                <w:rFonts w:ascii="宋体" w:cs="宋体"/>
                <w:color w:val="000000"/>
                <w:kern w:val="0"/>
                <w:sz w:val="20"/>
                <w:szCs w:val="20"/>
              </w:rPr>
            </w:pPr>
          </w:p>
        </w:tc>
        <w:tc>
          <w:tcPr>
            <w:tcW w:w="772" w:type="dxa"/>
            <w:vAlign w:val="center"/>
          </w:tcPr>
          <w:p>
            <w:pPr>
              <w:autoSpaceDE w:val="0"/>
              <w:autoSpaceDN w:val="0"/>
              <w:adjustRightInd w:val="0"/>
              <w:jc w:val="right"/>
              <w:rPr>
                <w:rFonts w:ascii="宋体" w:cs="宋体"/>
                <w:color w:val="000000"/>
                <w:kern w:val="0"/>
                <w:sz w:val="20"/>
                <w:szCs w:val="20"/>
              </w:rPr>
            </w:pPr>
          </w:p>
        </w:tc>
        <w:tc>
          <w:tcPr>
            <w:tcW w:w="734" w:type="dxa"/>
            <w:vAlign w:val="center"/>
          </w:tcPr>
          <w:p>
            <w:pPr>
              <w:autoSpaceDE w:val="0"/>
              <w:autoSpaceDN w:val="0"/>
              <w:adjustRightInd w:val="0"/>
              <w:jc w:val="right"/>
              <w:rPr>
                <w:rFonts w:ascii="宋体" w:cs="宋体"/>
                <w:color w:val="000000"/>
                <w:kern w:val="0"/>
                <w:sz w:val="20"/>
                <w:szCs w:val="20"/>
              </w:rPr>
            </w:pPr>
          </w:p>
        </w:tc>
        <w:tc>
          <w:tcPr>
            <w:tcW w:w="910" w:type="dxa"/>
            <w:vAlign w:val="center"/>
          </w:tcPr>
          <w:p>
            <w:pPr>
              <w:autoSpaceDE w:val="0"/>
              <w:autoSpaceDN w:val="0"/>
              <w:adjustRightInd w:val="0"/>
              <w:jc w:val="right"/>
              <w:rPr>
                <w:rFonts w:ascii="宋体" w:cs="宋体"/>
                <w:color w:val="000000"/>
                <w:kern w:val="0"/>
                <w:sz w:val="20"/>
                <w:szCs w:val="20"/>
              </w:rPr>
            </w:pPr>
          </w:p>
        </w:tc>
        <w:tc>
          <w:tcPr>
            <w:tcW w:w="708" w:type="dxa"/>
            <w:vAlign w:val="center"/>
          </w:tcPr>
          <w:p>
            <w:pPr>
              <w:autoSpaceDE w:val="0"/>
              <w:autoSpaceDN w:val="0"/>
              <w:adjustRightInd w:val="0"/>
              <w:jc w:val="right"/>
              <w:rPr>
                <w:rFonts w:ascii="宋体" w:cs="宋体"/>
                <w:color w:val="000000"/>
                <w:kern w:val="0"/>
                <w:sz w:val="20"/>
                <w:szCs w:val="20"/>
              </w:rPr>
            </w:pPr>
          </w:p>
        </w:tc>
        <w:tc>
          <w:tcPr>
            <w:tcW w:w="709" w:type="dxa"/>
            <w:vAlign w:val="center"/>
          </w:tcPr>
          <w:p>
            <w:pPr>
              <w:autoSpaceDE w:val="0"/>
              <w:autoSpaceDN w:val="0"/>
              <w:adjustRightInd w:val="0"/>
              <w:jc w:val="right"/>
              <w:rPr>
                <w:rFonts w:ascii="宋体" w:cs="宋体"/>
                <w:color w:val="000000"/>
                <w:kern w:val="0"/>
                <w:sz w:val="20"/>
                <w:szCs w:val="20"/>
              </w:rPr>
            </w:pPr>
          </w:p>
        </w:tc>
        <w:tc>
          <w:tcPr>
            <w:tcW w:w="714" w:type="dxa"/>
            <w:vAlign w:val="center"/>
          </w:tcPr>
          <w:p>
            <w:pPr>
              <w:autoSpaceDE w:val="0"/>
              <w:autoSpaceDN w:val="0"/>
              <w:adjustRightInd w:val="0"/>
              <w:jc w:val="right"/>
              <w:rPr>
                <w:rFonts w:ascii="宋体" w:cs="宋体"/>
                <w:color w:val="000000"/>
                <w:kern w:val="0"/>
                <w:sz w:val="20"/>
                <w:szCs w:val="20"/>
              </w:rPr>
            </w:pPr>
          </w:p>
        </w:tc>
        <w:tc>
          <w:tcPr>
            <w:tcW w:w="851" w:type="dxa"/>
            <w:vAlign w:val="center"/>
          </w:tcPr>
          <w:p>
            <w:pPr>
              <w:autoSpaceDE w:val="0"/>
              <w:autoSpaceDN w:val="0"/>
              <w:adjustRightInd w:val="0"/>
              <w:jc w:val="right"/>
              <w:rPr>
                <w:rFonts w:asci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31" w:type="dxa"/>
            <w:vAlign w:val="center"/>
          </w:tcPr>
          <w:p>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4</w:t>
            </w:r>
          </w:p>
        </w:tc>
        <w:tc>
          <w:tcPr>
            <w:tcW w:w="1426" w:type="dxa"/>
            <w:vAlign w:val="center"/>
          </w:tcPr>
          <w:p>
            <w:pPr>
              <w:autoSpaceDE w:val="0"/>
              <w:autoSpaceDN w:val="0"/>
              <w:adjustRightInd w:val="0"/>
              <w:jc w:val="center"/>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06" w:type="dxa"/>
            <w:vAlign w:val="center"/>
          </w:tcPr>
          <w:p>
            <w:pPr>
              <w:autoSpaceDE w:val="0"/>
              <w:autoSpaceDN w:val="0"/>
              <w:adjustRightInd w:val="0"/>
              <w:jc w:val="right"/>
              <w:rPr>
                <w:rFonts w:ascii="宋体" w:cs="宋体"/>
                <w:color w:val="000000"/>
                <w:kern w:val="0"/>
                <w:sz w:val="20"/>
                <w:szCs w:val="20"/>
              </w:rPr>
            </w:pPr>
          </w:p>
        </w:tc>
        <w:tc>
          <w:tcPr>
            <w:tcW w:w="75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35"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817"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52" w:type="dxa"/>
            <w:vAlign w:val="center"/>
          </w:tcPr>
          <w:p>
            <w:pPr>
              <w:autoSpaceDE w:val="0"/>
              <w:autoSpaceDN w:val="0"/>
              <w:adjustRightInd w:val="0"/>
              <w:jc w:val="right"/>
              <w:rPr>
                <w:rFonts w:ascii="宋体" w:cs="宋体"/>
                <w:color w:val="000000"/>
                <w:kern w:val="0"/>
                <w:sz w:val="20"/>
                <w:szCs w:val="20"/>
              </w:rPr>
            </w:pPr>
          </w:p>
        </w:tc>
        <w:tc>
          <w:tcPr>
            <w:tcW w:w="772" w:type="dxa"/>
            <w:vAlign w:val="center"/>
          </w:tcPr>
          <w:p>
            <w:pPr>
              <w:autoSpaceDE w:val="0"/>
              <w:autoSpaceDN w:val="0"/>
              <w:adjustRightInd w:val="0"/>
              <w:jc w:val="right"/>
              <w:rPr>
                <w:rFonts w:ascii="宋体" w:cs="宋体"/>
                <w:color w:val="000000"/>
                <w:kern w:val="0"/>
                <w:sz w:val="20"/>
                <w:szCs w:val="20"/>
              </w:rPr>
            </w:pPr>
          </w:p>
        </w:tc>
        <w:tc>
          <w:tcPr>
            <w:tcW w:w="734" w:type="dxa"/>
            <w:vAlign w:val="center"/>
          </w:tcPr>
          <w:p>
            <w:pPr>
              <w:autoSpaceDE w:val="0"/>
              <w:autoSpaceDN w:val="0"/>
              <w:adjustRightInd w:val="0"/>
              <w:jc w:val="right"/>
              <w:rPr>
                <w:rFonts w:ascii="宋体" w:cs="宋体"/>
                <w:color w:val="000000"/>
                <w:kern w:val="0"/>
                <w:sz w:val="20"/>
                <w:szCs w:val="20"/>
              </w:rPr>
            </w:pPr>
          </w:p>
        </w:tc>
        <w:tc>
          <w:tcPr>
            <w:tcW w:w="910" w:type="dxa"/>
            <w:vAlign w:val="center"/>
          </w:tcPr>
          <w:p>
            <w:pPr>
              <w:autoSpaceDE w:val="0"/>
              <w:autoSpaceDN w:val="0"/>
              <w:adjustRightInd w:val="0"/>
              <w:jc w:val="right"/>
              <w:rPr>
                <w:rFonts w:ascii="宋体" w:cs="宋体"/>
                <w:color w:val="000000"/>
                <w:kern w:val="0"/>
                <w:sz w:val="20"/>
                <w:szCs w:val="20"/>
              </w:rPr>
            </w:pPr>
          </w:p>
        </w:tc>
        <w:tc>
          <w:tcPr>
            <w:tcW w:w="708" w:type="dxa"/>
            <w:vAlign w:val="center"/>
          </w:tcPr>
          <w:p>
            <w:pPr>
              <w:autoSpaceDE w:val="0"/>
              <w:autoSpaceDN w:val="0"/>
              <w:adjustRightInd w:val="0"/>
              <w:jc w:val="right"/>
              <w:rPr>
                <w:rFonts w:ascii="宋体" w:cs="宋体"/>
                <w:color w:val="000000"/>
                <w:kern w:val="0"/>
                <w:sz w:val="20"/>
                <w:szCs w:val="20"/>
              </w:rPr>
            </w:pPr>
          </w:p>
        </w:tc>
        <w:tc>
          <w:tcPr>
            <w:tcW w:w="709" w:type="dxa"/>
            <w:vAlign w:val="center"/>
          </w:tcPr>
          <w:p>
            <w:pPr>
              <w:autoSpaceDE w:val="0"/>
              <w:autoSpaceDN w:val="0"/>
              <w:adjustRightInd w:val="0"/>
              <w:jc w:val="right"/>
              <w:rPr>
                <w:rFonts w:ascii="宋体" w:cs="宋体"/>
                <w:color w:val="000000"/>
                <w:kern w:val="0"/>
                <w:sz w:val="20"/>
                <w:szCs w:val="20"/>
              </w:rPr>
            </w:pPr>
          </w:p>
        </w:tc>
        <w:tc>
          <w:tcPr>
            <w:tcW w:w="714" w:type="dxa"/>
            <w:vAlign w:val="center"/>
          </w:tcPr>
          <w:p>
            <w:pPr>
              <w:autoSpaceDE w:val="0"/>
              <w:autoSpaceDN w:val="0"/>
              <w:adjustRightInd w:val="0"/>
              <w:jc w:val="right"/>
              <w:rPr>
                <w:rFonts w:ascii="宋体" w:cs="宋体"/>
                <w:color w:val="000000"/>
                <w:kern w:val="0"/>
                <w:sz w:val="20"/>
                <w:szCs w:val="20"/>
              </w:rPr>
            </w:pPr>
          </w:p>
        </w:tc>
        <w:tc>
          <w:tcPr>
            <w:tcW w:w="851" w:type="dxa"/>
            <w:vAlign w:val="center"/>
          </w:tcPr>
          <w:p>
            <w:pPr>
              <w:autoSpaceDE w:val="0"/>
              <w:autoSpaceDN w:val="0"/>
              <w:adjustRightInd w:val="0"/>
              <w:jc w:val="right"/>
              <w:rPr>
                <w:rFonts w:asci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31" w:type="dxa"/>
            <w:vAlign w:val="center"/>
          </w:tcPr>
          <w:p>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5</w:t>
            </w:r>
          </w:p>
        </w:tc>
        <w:tc>
          <w:tcPr>
            <w:tcW w:w="1426" w:type="dxa"/>
            <w:vAlign w:val="center"/>
          </w:tcPr>
          <w:p>
            <w:pPr>
              <w:autoSpaceDE w:val="0"/>
              <w:autoSpaceDN w:val="0"/>
              <w:adjustRightInd w:val="0"/>
              <w:jc w:val="center"/>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06" w:type="dxa"/>
            <w:vAlign w:val="center"/>
          </w:tcPr>
          <w:p>
            <w:pPr>
              <w:autoSpaceDE w:val="0"/>
              <w:autoSpaceDN w:val="0"/>
              <w:adjustRightInd w:val="0"/>
              <w:jc w:val="right"/>
              <w:rPr>
                <w:rFonts w:ascii="宋体" w:cs="宋体"/>
                <w:color w:val="000000"/>
                <w:kern w:val="0"/>
                <w:sz w:val="20"/>
                <w:szCs w:val="20"/>
              </w:rPr>
            </w:pPr>
          </w:p>
        </w:tc>
        <w:tc>
          <w:tcPr>
            <w:tcW w:w="75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35"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817"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52" w:type="dxa"/>
            <w:vAlign w:val="center"/>
          </w:tcPr>
          <w:p>
            <w:pPr>
              <w:autoSpaceDE w:val="0"/>
              <w:autoSpaceDN w:val="0"/>
              <w:adjustRightInd w:val="0"/>
              <w:jc w:val="right"/>
              <w:rPr>
                <w:rFonts w:ascii="宋体" w:cs="宋体"/>
                <w:color w:val="000000"/>
                <w:kern w:val="0"/>
                <w:sz w:val="20"/>
                <w:szCs w:val="20"/>
              </w:rPr>
            </w:pPr>
          </w:p>
        </w:tc>
        <w:tc>
          <w:tcPr>
            <w:tcW w:w="772" w:type="dxa"/>
            <w:vAlign w:val="center"/>
          </w:tcPr>
          <w:p>
            <w:pPr>
              <w:autoSpaceDE w:val="0"/>
              <w:autoSpaceDN w:val="0"/>
              <w:adjustRightInd w:val="0"/>
              <w:jc w:val="right"/>
              <w:rPr>
                <w:rFonts w:ascii="宋体" w:cs="宋体"/>
                <w:color w:val="000000"/>
                <w:kern w:val="0"/>
                <w:sz w:val="20"/>
                <w:szCs w:val="20"/>
              </w:rPr>
            </w:pPr>
          </w:p>
        </w:tc>
        <w:tc>
          <w:tcPr>
            <w:tcW w:w="734" w:type="dxa"/>
            <w:vAlign w:val="center"/>
          </w:tcPr>
          <w:p>
            <w:pPr>
              <w:autoSpaceDE w:val="0"/>
              <w:autoSpaceDN w:val="0"/>
              <w:adjustRightInd w:val="0"/>
              <w:jc w:val="right"/>
              <w:rPr>
                <w:rFonts w:ascii="宋体" w:cs="宋体"/>
                <w:color w:val="000000"/>
                <w:kern w:val="0"/>
                <w:sz w:val="20"/>
                <w:szCs w:val="20"/>
              </w:rPr>
            </w:pPr>
          </w:p>
        </w:tc>
        <w:tc>
          <w:tcPr>
            <w:tcW w:w="910" w:type="dxa"/>
            <w:vAlign w:val="center"/>
          </w:tcPr>
          <w:p>
            <w:pPr>
              <w:autoSpaceDE w:val="0"/>
              <w:autoSpaceDN w:val="0"/>
              <w:adjustRightInd w:val="0"/>
              <w:jc w:val="right"/>
              <w:rPr>
                <w:rFonts w:ascii="宋体" w:cs="宋体"/>
                <w:color w:val="000000"/>
                <w:kern w:val="0"/>
                <w:sz w:val="20"/>
                <w:szCs w:val="20"/>
              </w:rPr>
            </w:pPr>
          </w:p>
        </w:tc>
        <w:tc>
          <w:tcPr>
            <w:tcW w:w="708" w:type="dxa"/>
            <w:vAlign w:val="center"/>
          </w:tcPr>
          <w:p>
            <w:pPr>
              <w:autoSpaceDE w:val="0"/>
              <w:autoSpaceDN w:val="0"/>
              <w:adjustRightInd w:val="0"/>
              <w:jc w:val="right"/>
              <w:rPr>
                <w:rFonts w:ascii="宋体" w:cs="宋体"/>
                <w:color w:val="000000"/>
                <w:kern w:val="0"/>
                <w:sz w:val="20"/>
                <w:szCs w:val="20"/>
              </w:rPr>
            </w:pPr>
          </w:p>
        </w:tc>
        <w:tc>
          <w:tcPr>
            <w:tcW w:w="709" w:type="dxa"/>
            <w:vAlign w:val="center"/>
          </w:tcPr>
          <w:p>
            <w:pPr>
              <w:autoSpaceDE w:val="0"/>
              <w:autoSpaceDN w:val="0"/>
              <w:adjustRightInd w:val="0"/>
              <w:jc w:val="right"/>
              <w:rPr>
                <w:rFonts w:ascii="宋体" w:cs="宋体"/>
                <w:color w:val="000000"/>
                <w:kern w:val="0"/>
                <w:sz w:val="20"/>
                <w:szCs w:val="20"/>
              </w:rPr>
            </w:pPr>
          </w:p>
        </w:tc>
        <w:tc>
          <w:tcPr>
            <w:tcW w:w="714" w:type="dxa"/>
            <w:vAlign w:val="center"/>
          </w:tcPr>
          <w:p>
            <w:pPr>
              <w:autoSpaceDE w:val="0"/>
              <w:autoSpaceDN w:val="0"/>
              <w:adjustRightInd w:val="0"/>
              <w:jc w:val="right"/>
              <w:rPr>
                <w:rFonts w:ascii="宋体" w:cs="宋体"/>
                <w:color w:val="000000"/>
                <w:kern w:val="0"/>
                <w:sz w:val="20"/>
                <w:szCs w:val="20"/>
              </w:rPr>
            </w:pPr>
          </w:p>
        </w:tc>
        <w:tc>
          <w:tcPr>
            <w:tcW w:w="851" w:type="dxa"/>
            <w:vAlign w:val="center"/>
          </w:tcPr>
          <w:p>
            <w:pPr>
              <w:autoSpaceDE w:val="0"/>
              <w:autoSpaceDN w:val="0"/>
              <w:adjustRightInd w:val="0"/>
              <w:jc w:val="right"/>
              <w:rPr>
                <w:rFonts w:asci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31" w:type="dxa"/>
            <w:vAlign w:val="center"/>
          </w:tcPr>
          <w:p>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6</w:t>
            </w:r>
          </w:p>
        </w:tc>
        <w:tc>
          <w:tcPr>
            <w:tcW w:w="1426" w:type="dxa"/>
            <w:vAlign w:val="center"/>
          </w:tcPr>
          <w:p>
            <w:pPr>
              <w:autoSpaceDE w:val="0"/>
              <w:autoSpaceDN w:val="0"/>
              <w:adjustRightInd w:val="0"/>
              <w:jc w:val="center"/>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06" w:type="dxa"/>
            <w:vAlign w:val="center"/>
          </w:tcPr>
          <w:p>
            <w:pPr>
              <w:autoSpaceDE w:val="0"/>
              <w:autoSpaceDN w:val="0"/>
              <w:adjustRightInd w:val="0"/>
              <w:jc w:val="right"/>
              <w:rPr>
                <w:rFonts w:ascii="宋体" w:cs="宋体"/>
                <w:color w:val="000000"/>
                <w:kern w:val="0"/>
                <w:sz w:val="20"/>
                <w:szCs w:val="20"/>
              </w:rPr>
            </w:pPr>
          </w:p>
        </w:tc>
        <w:tc>
          <w:tcPr>
            <w:tcW w:w="75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35"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817"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52" w:type="dxa"/>
            <w:vAlign w:val="center"/>
          </w:tcPr>
          <w:p>
            <w:pPr>
              <w:autoSpaceDE w:val="0"/>
              <w:autoSpaceDN w:val="0"/>
              <w:adjustRightInd w:val="0"/>
              <w:jc w:val="right"/>
              <w:rPr>
                <w:rFonts w:ascii="宋体" w:cs="宋体"/>
                <w:color w:val="000000"/>
                <w:kern w:val="0"/>
                <w:sz w:val="20"/>
                <w:szCs w:val="20"/>
              </w:rPr>
            </w:pPr>
          </w:p>
        </w:tc>
        <w:tc>
          <w:tcPr>
            <w:tcW w:w="772" w:type="dxa"/>
            <w:vAlign w:val="center"/>
          </w:tcPr>
          <w:p>
            <w:pPr>
              <w:autoSpaceDE w:val="0"/>
              <w:autoSpaceDN w:val="0"/>
              <w:adjustRightInd w:val="0"/>
              <w:jc w:val="right"/>
              <w:rPr>
                <w:rFonts w:ascii="宋体" w:cs="宋体"/>
                <w:color w:val="000000"/>
                <w:kern w:val="0"/>
                <w:sz w:val="20"/>
                <w:szCs w:val="20"/>
              </w:rPr>
            </w:pPr>
          </w:p>
        </w:tc>
        <w:tc>
          <w:tcPr>
            <w:tcW w:w="734" w:type="dxa"/>
            <w:vAlign w:val="center"/>
          </w:tcPr>
          <w:p>
            <w:pPr>
              <w:autoSpaceDE w:val="0"/>
              <w:autoSpaceDN w:val="0"/>
              <w:adjustRightInd w:val="0"/>
              <w:jc w:val="right"/>
              <w:rPr>
                <w:rFonts w:ascii="宋体" w:cs="宋体"/>
                <w:color w:val="000000"/>
                <w:kern w:val="0"/>
                <w:sz w:val="20"/>
                <w:szCs w:val="20"/>
              </w:rPr>
            </w:pPr>
          </w:p>
        </w:tc>
        <w:tc>
          <w:tcPr>
            <w:tcW w:w="910" w:type="dxa"/>
            <w:vAlign w:val="center"/>
          </w:tcPr>
          <w:p>
            <w:pPr>
              <w:autoSpaceDE w:val="0"/>
              <w:autoSpaceDN w:val="0"/>
              <w:adjustRightInd w:val="0"/>
              <w:jc w:val="right"/>
              <w:rPr>
                <w:rFonts w:ascii="宋体" w:cs="宋体"/>
                <w:color w:val="000000"/>
                <w:kern w:val="0"/>
                <w:sz w:val="20"/>
                <w:szCs w:val="20"/>
              </w:rPr>
            </w:pPr>
          </w:p>
        </w:tc>
        <w:tc>
          <w:tcPr>
            <w:tcW w:w="708" w:type="dxa"/>
            <w:vAlign w:val="center"/>
          </w:tcPr>
          <w:p>
            <w:pPr>
              <w:autoSpaceDE w:val="0"/>
              <w:autoSpaceDN w:val="0"/>
              <w:adjustRightInd w:val="0"/>
              <w:jc w:val="right"/>
              <w:rPr>
                <w:rFonts w:ascii="宋体" w:cs="宋体"/>
                <w:color w:val="000000"/>
                <w:kern w:val="0"/>
                <w:sz w:val="20"/>
                <w:szCs w:val="20"/>
              </w:rPr>
            </w:pPr>
          </w:p>
        </w:tc>
        <w:tc>
          <w:tcPr>
            <w:tcW w:w="709" w:type="dxa"/>
            <w:vAlign w:val="center"/>
          </w:tcPr>
          <w:p>
            <w:pPr>
              <w:autoSpaceDE w:val="0"/>
              <w:autoSpaceDN w:val="0"/>
              <w:adjustRightInd w:val="0"/>
              <w:jc w:val="right"/>
              <w:rPr>
                <w:rFonts w:ascii="宋体" w:cs="宋体"/>
                <w:color w:val="000000"/>
                <w:kern w:val="0"/>
                <w:sz w:val="20"/>
                <w:szCs w:val="20"/>
              </w:rPr>
            </w:pPr>
          </w:p>
        </w:tc>
        <w:tc>
          <w:tcPr>
            <w:tcW w:w="714" w:type="dxa"/>
            <w:vAlign w:val="center"/>
          </w:tcPr>
          <w:p>
            <w:pPr>
              <w:autoSpaceDE w:val="0"/>
              <w:autoSpaceDN w:val="0"/>
              <w:adjustRightInd w:val="0"/>
              <w:jc w:val="right"/>
              <w:rPr>
                <w:rFonts w:ascii="宋体" w:cs="宋体"/>
                <w:color w:val="000000"/>
                <w:kern w:val="0"/>
                <w:sz w:val="20"/>
                <w:szCs w:val="20"/>
              </w:rPr>
            </w:pPr>
          </w:p>
        </w:tc>
        <w:tc>
          <w:tcPr>
            <w:tcW w:w="851" w:type="dxa"/>
            <w:vAlign w:val="center"/>
          </w:tcPr>
          <w:p>
            <w:pPr>
              <w:autoSpaceDE w:val="0"/>
              <w:autoSpaceDN w:val="0"/>
              <w:adjustRightInd w:val="0"/>
              <w:jc w:val="right"/>
              <w:rPr>
                <w:rFonts w:asci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31" w:type="dxa"/>
            <w:vAlign w:val="center"/>
          </w:tcPr>
          <w:p>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7</w:t>
            </w:r>
          </w:p>
        </w:tc>
        <w:tc>
          <w:tcPr>
            <w:tcW w:w="1426" w:type="dxa"/>
            <w:vAlign w:val="center"/>
          </w:tcPr>
          <w:p>
            <w:pPr>
              <w:autoSpaceDE w:val="0"/>
              <w:autoSpaceDN w:val="0"/>
              <w:adjustRightInd w:val="0"/>
              <w:jc w:val="center"/>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06" w:type="dxa"/>
            <w:vAlign w:val="center"/>
          </w:tcPr>
          <w:p>
            <w:pPr>
              <w:autoSpaceDE w:val="0"/>
              <w:autoSpaceDN w:val="0"/>
              <w:adjustRightInd w:val="0"/>
              <w:jc w:val="right"/>
              <w:rPr>
                <w:rFonts w:ascii="宋体" w:cs="宋体"/>
                <w:color w:val="000000"/>
                <w:kern w:val="0"/>
                <w:sz w:val="20"/>
                <w:szCs w:val="20"/>
              </w:rPr>
            </w:pPr>
          </w:p>
        </w:tc>
        <w:tc>
          <w:tcPr>
            <w:tcW w:w="75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35"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817"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52" w:type="dxa"/>
            <w:vAlign w:val="center"/>
          </w:tcPr>
          <w:p>
            <w:pPr>
              <w:autoSpaceDE w:val="0"/>
              <w:autoSpaceDN w:val="0"/>
              <w:adjustRightInd w:val="0"/>
              <w:jc w:val="right"/>
              <w:rPr>
                <w:rFonts w:ascii="宋体" w:cs="宋体"/>
                <w:color w:val="000000"/>
                <w:kern w:val="0"/>
                <w:sz w:val="20"/>
                <w:szCs w:val="20"/>
              </w:rPr>
            </w:pPr>
          </w:p>
        </w:tc>
        <w:tc>
          <w:tcPr>
            <w:tcW w:w="772" w:type="dxa"/>
            <w:vAlign w:val="center"/>
          </w:tcPr>
          <w:p>
            <w:pPr>
              <w:autoSpaceDE w:val="0"/>
              <w:autoSpaceDN w:val="0"/>
              <w:adjustRightInd w:val="0"/>
              <w:jc w:val="right"/>
              <w:rPr>
                <w:rFonts w:ascii="宋体" w:cs="宋体"/>
                <w:color w:val="000000"/>
                <w:kern w:val="0"/>
                <w:sz w:val="20"/>
                <w:szCs w:val="20"/>
              </w:rPr>
            </w:pPr>
          </w:p>
        </w:tc>
        <w:tc>
          <w:tcPr>
            <w:tcW w:w="734" w:type="dxa"/>
            <w:vAlign w:val="center"/>
          </w:tcPr>
          <w:p>
            <w:pPr>
              <w:autoSpaceDE w:val="0"/>
              <w:autoSpaceDN w:val="0"/>
              <w:adjustRightInd w:val="0"/>
              <w:jc w:val="right"/>
              <w:rPr>
                <w:rFonts w:ascii="宋体" w:cs="宋体"/>
                <w:color w:val="000000"/>
                <w:kern w:val="0"/>
                <w:sz w:val="20"/>
                <w:szCs w:val="20"/>
              </w:rPr>
            </w:pPr>
          </w:p>
        </w:tc>
        <w:tc>
          <w:tcPr>
            <w:tcW w:w="910" w:type="dxa"/>
            <w:vAlign w:val="center"/>
          </w:tcPr>
          <w:p>
            <w:pPr>
              <w:autoSpaceDE w:val="0"/>
              <w:autoSpaceDN w:val="0"/>
              <w:adjustRightInd w:val="0"/>
              <w:jc w:val="right"/>
              <w:rPr>
                <w:rFonts w:ascii="宋体" w:cs="宋体"/>
                <w:color w:val="000000"/>
                <w:kern w:val="0"/>
                <w:sz w:val="20"/>
                <w:szCs w:val="20"/>
              </w:rPr>
            </w:pPr>
          </w:p>
        </w:tc>
        <w:tc>
          <w:tcPr>
            <w:tcW w:w="708" w:type="dxa"/>
            <w:vAlign w:val="center"/>
          </w:tcPr>
          <w:p>
            <w:pPr>
              <w:autoSpaceDE w:val="0"/>
              <w:autoSpaceDN w:val="0"/>
              <w:adjustRightInd w:val="0"/>
              <w:jc w:val="right"/>
              <w:rPr>
                <w:rFonts w:ascii="宋体" w:cs="宋体"/>
                <w:color w:val="000000"/>
                <w:kern w:val="0"/>
                <w:sz w:val="20"/>
                <w:szCs w:val="20"/>
              </w:rPr>
            </w:pPr>
          </w:p>
        </w:tc>
        <w:tc>
          <w:tcPr>
            <w:tcW w:w="709" w:type="dxa"/>
            <w:vAlign w:val="center"/>
          </w:tcPr>
          <w:p>
            <w:pPr>
              <w:autoSpaceDE w:val="0"/>
              <w:autoSpaceDN w:val="0"/>
              <w:adjustRightInd w:val="0"/>
              <w:jc w:val="right"/>
              <w:rPr>
                <w:rFonts w:ascii="宋体" w:cs="宋体"/>
                <w:color w:val="000000"/>
                <w:kern w:val="0"/>
                <w:sz w:val="20"/>
                <w:szCs w:val="20"/>
              </w:rPr>
            </w:pPr>
          </w:p>
        </w:tc>
        <w:tc>
          <w:tcPr>
            <w:tcW w:w="714" w:type="dxa"/>
            <w:vAlign w:val="center"/>
          </w:tcPr>
          <w:p>
            <w:pPr>
              <w:autoSpaceDE w:val="0"/>
              <w:autoSpaceDN w:val="0"/>
              <w:adjustRightInd w:val="0"/>
              <w:jc w:val="right"/>
              <w:rPr>
                <w:rFonts w:ascii="宋体" w:cs="宋体"/>
                <w:color w:val="000000"/>
                <w:kern w:val="0"/>
                <w:sz w:val="20"/>
                <w:szCs w:val="20"/>
              </w:rPr>
            </w:pPr>
          </w:p>
        </w:tc>
        <w:tc>
          <w:tcPr>
            <w:tcW w:w="851" w:type="dxa"/>
            <w:vAlign w:val="center"/>
          </w:tcPr>
          <w:p>
            <w:pPr>
              <w:autoSpaceDE w:val="0"/>
              <w:autoSpaceDN w:val="0"/>
              <w:adjustRightInd w:val="0"/>
              <w:jc w:val="right"/>
              <w:rPr>
                <w:rFonts w:asci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31" w:type="dxa"/>
            <w:vAlign w:val="center"/>
          </w:tcPr>
          <w:p>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8</w:t>
            </w:r>
          </w:p>
        </w:tc>
        <w:tc>
          <w:tcPr>
            <w:tcW w:w="1426" w:type="dxa"/>
            <w:vAlign w:val="center"/>
          </w:tcPr>
          <w:p>
            <w:pPr>
              <w:autoSpaceDE w:val="0"/>
              <w:autoSpaceDN w:val="0"/>
              <w:adjustRightInd w:val="0"/>
              <w:jc w:val="center"/>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06" w:type="dxa"/>
            <w:vAlign w:val="center"/>
          </w:tcPr>
          <w:p>
            <w:pPr>
              <w:autoSpaceDE w:val="0"/>
              <w:autoSpaceDN w:val="0"/>
              <w:adjustRightInd w:val="0"/>
              <w:jc w:val="right"/>
              <w:rPr>
                <w:rFonts w:ascii="宋体" w:cs="宋体"/>
                <w:color w:val="000000"/>
                <w:kern w:val="0"/>
                <w:sz w:val="20"/>
                <w:szCs w:val="20"/>
              </w:rPr>
            </w:pPr>
          </w:p>
        </w:tc>
        <w:tc>
          <w:tcPr>
            <w:tcW w:w="75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35"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817"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52" w:type="dxa"/>
            <w:vAlign w:val="center"/>
          </w:tcPr>
          <w:p>
            <w:pPr>
              <w:autoSpaceDE w:val="0"/>
              <w:autoSpaceDN w:val="0"/>
              <w:adjustRightInd w:val="0"/>
              <w:jc w:val="right"/>
              <w:rPr>
                <w:rFonts w:ascii="宋体" w:cs="宋体"/>
                <w:color w:val="000000"/>
                <w:kern w:val="0"/>
                <w:sz w:val="20"/>
                <w:szCs w:val="20"/>
              </w:rPr>
            </w:pPr>
          </w:p>
        </w:tc>
        <w:tc>
          <w:tcPr>
            <w:tcW w:w="772" w:type="dxa"/>
            <w:vAlign w:val="center"/>
          </w:tcPr>
          <w:p>
            <w:pPr>
              <w:autoSpaceDE w:val="0"/>
              <w:autoSpaceDN w:val="0"/>
              <w:adjustRightInd w:val="0"/>
              <w:jc w:val="right"/>
              <w:rPr>
                <w:rFonts w:ascii="宋体" w:cs="宋体"/>
                <w:color w:val="000000"/>
                <w:kern w:val="0"/>
                <w:sz w:val="20"/>
                <w:szCs w:val="20"/>
              </w:rPr>
            </w:pPr>
          </w:p>
        </w:tc>
        <w:tc>
          <w:tcPr>
            <w:tcW w:w="734" w:type="dxa"/>
            <w:vAlign w:val="center"/>
          </w:tcPr>
          <w:p>
            <w:pPr>
              <w:autoSpaceDE w:val="0"/>
              <w:autoSpaceDN w:val="0"/>
              <w:adjustRightInd w:val="0"/>
              <w:jc w:val="right"/>
              <w:rPr>
                <w:rFonts w:ascii="宋体" w:cs="宋体"/>
                <w:color w:val="000000"/>
                <w:kern w:val="0"/>
                <w:sz w:val="20"/>
                <w:szCs w:val="20"/>
              </w:rPr>
            </w:pPr>
          </w:p>
        </w:tc>
        <w:tc>
          <w:tcPr>
            <w:tcW w:w="910" w:type="dxa"/>
            <w:vAlign w:val="center"/>
          </w:tcPr>
          <w:p>
            <w:pPr>
              <w:autoSpaceDE w:val="0"/>
              <w:autoSpaceDN w:val="0"/>
              <w:adjustRightInd w:val="0"/>
              <w:jc w:val="right"/>
              <w:rPr>
                <w:rFonts w:ascii="宋体" w:cs="宋体"/>
                <w:color w:val="000000"/>
                <w:kern w:val="0"/>
                <w:sz w:val="20"/>
                <w:szCs w:val="20"/>
              </w:rPr>
            </w:pPr>
          </w:p>
        </w:tc>
        <w:tc>
          <w:tcPr>
            <w:tcW w:w="708" w:type="dxa"/>
            <w:vAlign w:val="center"/>
          </w:tcPr>
          <w:p>
            <w:pPr>
              <w:autoSpaceDE w:val="0"/>
              <w:autoSpaceDN w:val="0"/>
              <w:adjustRightInd w:val="0"/>
              <w:jc w:val="right"/>
              <w:rPr>
                <w:rFonts w:ascii="宋体" w:cs="宋体"/>
                <w:color w:val="000000"/>
                <w:kern w:val="0"/>
                <w:sz w:val="20"/>
                <w:szCs w:val="20"/>
              </w:rPr>
            </w:pPr>
          </w:p>
        </w:tc>
        <w:tc>
          <w:tcPr>
            <w:tcW w:w="709" w:type="dxa"/>
            <w:vAlign w:val="center"/>
          </w:tcPr>
          <w:p>
            <w:pPr>
              <w:autoSpaceDE w:val="0"/>
              <w:autoSpaceDN w:val="0"/>
              <w:adjustRightInd w:val="0"/>
              <w:jc w:val="right"/>
              <w:rPr>
                <w:rFonts w:ascii="宋体" w:cs="宋体"/>
                <w:color w:val="000000"/>
                <w:kern w:val="0"/>
                <w:sz w:val="20"/>
                <w:szCs w:val="20"/>
              </w:rPr>
            </w:pPr>
          </w:p>
        </w:tc>
        <w:tc>
          <w:tcPr>
            <w:tcW w:w="714" w:type="dxa"/>
            <w:vAlign w:val="center"/>
          </w:tcPr>
          <w:p>
            <w:pPr>
              <w:autoSpaceDE w:val="0"/>
              <w:autoSpaceDN w:val="0"/>
              <w:adjustRightInd w:val="0"/>
              <w:jc w:val="right"/>
              <w:rPr>
                <w:rFonts w:ascii="宋体" w:cs="宋体"/>
                <w:color w:val="000000"/>
                <w:kern w:val="0"/>
                <w:sz w:val="20"/>
                <w:szCs w:val="20"/>
              </w:rPr>
            </w:pPr>
          </w:p>
        </w:tc>
        <w:tc>
          <w:tcPr>
            <w:tcW w:w="851" w:type="dxa"/>
            <w:vAlign w:val="center"/>
          </w:tcPr>
          <w:p>
            <w:pPr>
              <w:autoSpaceDE w:val="0"/>
              <w:autoSpaceDN w:val="0"/>
              <w:adjustRightInd w:val="0"/>
              <w:jc w:val="right"/>
              <w:rPr>
                <w:rFonts w:asci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31" w:type="dxa"/>
            <w:vAlign w:val="center"/>
          </w:tcPr>
          <w:p>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9</w:t>
            </w:r>
          </w:p>
        </w:tc>
        <w:tc>
          <w:tcPr>
            <w:tcW w:w="1426" w:type="dxa"/>
            <w:vAlign w:val="center"/>
          </w:tcPr>
          <w:p>
            <w:pPr>
              <w:autoSpaceDE w:val="0"/>
              <w:autoSpaceDN w:val="0"/>
              <w:adjustRightInd w:val="0"/>
              <w:jc w:val="center"/>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06" w:type="dxa"/>
            <w:vAlign w:val="center"/>
          </w:tcPr>
          <w:p>
            <w:pPr>
              <w:autoSpaceDE w:val="0"/>
              <w:autoSpaceDN w:val="0"/>
              <w:adjustRightInd w:val="0"/>
              <w:jc w:val="right"/>
              <w:rPr>
                <w:rFonts w:ascii="宋体" w:cs="宋体"/>
                <w:color w:val="000000"/>
                <w:kern w:val="0"/>
                <w:sz w:val="20"/>
                <w:szCs w:val="20"/>
              </w:rPr>
            </w:pPr>
          </w:p>
        </w:tc>
        <w:tc>
          <w:tcPr>
            <w:tcW w:w="75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35"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817"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52" w:type="dxa"/>
            <w:vAlign w:val="center"/>
          </w:tcPr>
          <w:p>
            <w:pPr>
              <w:autoSpaceDE w:val="0"/>
              <w:autoSpaceDN w:val="0"/>
              <w:adjustRightInd w:val="0"/>
              <w:jc w:val="right"/>
              <w:rPr>
                <w:rFonts w:ascii="宋体" w:cs="宋体"/>
                <w:color w:val="000000"/>
                <w:kern w:val="0"/>
                <w:sz w:val="20"/>
                <w:szCs w:val="20"/>
              </w:rPr>
            </w:pPr>
          </w:p>
        </w:tc>
        <w:tc>
          <w:tcPr>
            <w:tcW w:w="772" w:type="dxa"/>
            <w:vAlign w:val="center"/>
          </w:tcPr>
          <w:p>
            <w:pPr>
              <w:autoSpaceDE w:val="0"/>
              <w:autoSpaceDN w:val="0"/>
              <w:adjustRightInd w:val="0"/>
              <w:jc w:val="right"/>
              <w:rPr>
                <w:rFonts w:ascii="宋体" w:cs="宋体"/>
                <w:color w:val="000000"/>
                <w:kern w:val="0"/>
                <w:sz w:val="20"/>
                <w:szCs w:val="20"/>
              </w:rPr>
            </w:pPr>
          </w:p>
        </w:tc>
        <w:tc>
          <w:tcPr>
            <w:tcW w:w="734" w:type="dxa"/>
            <w:vAlign w:val="center"/>
          </w:tcPr>
          <w:p>
            <w:pPr>
              <w:autoSpaceDE w:val="0"/>
              <w:autoSpaceDN w:val="0"/>
              <w:adjustRightInd w:val="0"/>
              <w:jc w:val="right"/>
              <w:rPr>
                <w:rFonts w:ascii="宋体" w:cs="宋体"/>
                <w:color w:val="000000"/>
                <w:kern w:val="0"/>
                <w:sz w:val="20"/>
                <w:szCs w:val="20"/>
              </w:rPr>
            </w:pPr>
          </w:p>
        </w:tc>
        <w:tc>
          <w:tcPr>
            <w:tcW w:w="910" w:type="dxa"/>
            <w:vAlign w:val="center"/>
          </w:tcPr>
          <w:p>
            <w:pPr>
              <w:autoSpaceDE w:val="0"/>
              <w:autoSpaceDN w:val="0"/>
              <w:adjustRightInd w:val="0"/>
              <w:jc w:val="right"/>
              <w:rPr>
                <w:rFonts w:ascii="宋体" w:cs="宋体"/>
                <w:color w:val="000000"/>
                <w:kern w:val="0"/>
                <w:sz w:val="20"/>
                <w:szCs w:val="20"/>
              </w:rPr>
            </w:pPr>
          </w:p>
        </w:tc>
        <w:tc>
          <w:tcPr>
            <w:tcW w:w="708" w:type="dxa"/>
            <w:vAlign w:val="center"/>
          </w:tcPr>
          <w:p>
            <w:pPr>
              <w:autoSpaceDE w:val="0"/>
              <w:autoSpaceDN w:val="0"/>
              <w:adjustRightInd w:val="0"/>
              <w:jc w:val="right"/>
              <w:rPr>
                <w:rFonts w:ascii="宋体" w:cs="宋体"/>
                <w:color w:val="000000"/>
                <w:kern w:val="0"/>
                <w:sz w:val="20"/>
                <w:szCs w:val="20"/>
              </w:rPr>
            </w:pPr>
          </w:p>
        </w:tc>
        <w:tc>
          <w:tcPr>
            <w:tcW w:w="709" w:type="dxa"/>
            <w:vAlign w:val="center"/>
          </w:tcPr>
          <w:p>
            <w:pPr>
              <w:autoSpaceDE w:val="0"/>
              <w:autoSpaceDN w:val="0"/>
              <w:adjustRightInd w:val="0"/>
              <w:jc w:val="right"/>
              <w:rPr>
                <w:rFonts w:ascii="宋体" w:cs="宋体"/>
                <w:color w:val="000000"/>
                <w:kern w:val="0"/>
                <w:sz w:val="20"/>
                <w:szCs w:val="20"/>
              </w:rPr>
            </w:pPr>
          </w:p>
        </w:tc>
        <w:tc>
          <w:tcPr>
            <w:tcW w:w="714" w:type="dxa"/>
            <w:vAlign w:val="center"/>
          </w:tcPr>
          <w:p>
            <w:pPr>
              <w:autoSpaceDE w:val="0"/>
              <w:autoSpaceDN w:val="0"/>
              <w:adjustRightInd w:val="0"/>
              <w:jc w:val="right"/>
              <w:rPr>
                <w:rFonts w:ascii="宋体" w:cs="宋体"/>
                <w:color w:val="000000"/>
                <w:kern w:val="0"/>
                <w:sz w:val="20"/>
                <w:szCs w:val="20"/>
              </w:rPr>
            </w:pPr>
          </w:p>
        </w:tc>
        <w:tc>
          <w:tcPr>
            <w:tcW w:w="851" w:type="dxa"/>
            <w:vAlign w:val="center"/>
          </w:tcPr>
          <w:p>
            <w:pPr>
              <w:autoSpaceDE w:val="0"/>
              <w:autoSpaceDN w:val="0"/>
              <w:adjustRightInd w:val="0"/>
              <w:jc w:val="right"/>
              <w:rPr>
                <w:rFonts w:ascii="宋体" w:cs="宋体"/>
                <w:color w:val="00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31" w:type="dxa"/>
            <w:vAlign w:val="center"/>
          </w:tcPr>
          <w:p>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10</w:t>
            </w:r>
          </w:p>
        </w:tc>
        <w:tc>
          <w:tcPr>
            <w:tcW w:w="1426" w:type="dxa"/>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合计</w:t>
            </w:r>
          </w:p>
        </w:tc>
        <w:tc>
          <w:tcPr>
            <w:tcW w:w="631" w:type="dxa"/>
            <w:vAlign w:val="center"/>
          </w:tcPr>
          <w:p>
            <w:pPr>
              <w:autoSpaceDE w:val="0"/>
              <w:autoSpaceDN w:val="0"/>
              <w:adjustRightInd w:val="0"/>
              <w:jc w:val="right"/>
              <w:rPr>
                <w:rFonts w:ascii="宋体" w:cs="宋体"/>
                <w:color w:val="000000"/>
                <w:kern w:val="0"/>
                <w:sz w:val="20"/>
                <w:szCs w:val="20"/>
              </w:rPr>
            </w:pPr>
          </w:p>
        </w:tc>
        <w:tc>
          <w:tcPr>
            <w:tcW w:w="706" w:type="dxa"/>
            <w:vAlign w:val="center"/>
          </w:tcPr>
          <w:p>
            <w:pPr>
              <w:autoSpaceDE w:val="0"/>
              <w:autoSpaceDN w:val="0"/>
              <w:adjustRightInd w:val="0"/>
              <w:jc w:val="right"/>
              <w:rPr>
                <w:rFonts w:ascii="宋体" w:cs="宋体"/>
                <w:color w:val="000000"/>
                <w:kern w:val="0"/>
                <w:sz w:val="20"/>
                <w:szCs w:val="20"/>
              </w:rPr>
            </w:pPr>
          </w:p>
        </w:tc>
        <w:tc>
          <w:tcPr>
            <w:tcW w:w="75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35"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817"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631" w:type="dxa"/>
            <w:vAlign w:val="center"/>
          </w:tcPr>
          <w:p>
            <w:pPr>
              <w:autoSpaceDE w:val="0"/>
              <w:autoSpaceDN w:val="0"/>
              <w:adjustRightInd w:val="0"/>
              <w:jc w:val="right"/>
              <w:rPr>
                <w:rFonts w:ascii="宋体" w:cs="宋体"/>
                <w:color w:val="000000"/>
                <w:kern w:val="0"/>
                <w:sz w:val="20"/>
                <w:szCs w:val="20"/>
              </w:rPr>
            </w:pPr>
          </w:p>
        </w:tc>
        <w:tc>
          <w:tcPr>
            <w:tcW w:w="752" w:type="dxa"/>
            <w:vAlign w:val="center"/>
          </w:tcPr>
          <w:p>
            <w:pPr>
              <w:autoSpaceDE w:val="0"/>
              <w:autoSpaceDN w:val="0"/>
              <w:adjustRightInd w:val="0"/>
              <w:jc w:val="right"/>
              <w:rPr>
                <w:rFonts w:ascii="宋体" w:cs="宋体"/>
                <w:color w:val="000000"/>
                <w:kern w:val="0"/>
                <w:sz w:val="20"/>
                <w:szCs w:val="20"/>
              </w:rPr>
            </w:pPr>
          </w:p>
        </w:tc>
        <w:tc>
          <w:tcPr>
            <w:tcW w:w="772" w:type="dxa"/>
            <w:vAlign w:val="center"/>
          </w:tcPr>
          <w:p>
            <w:pPr>
              <w:autoSpaceDE w:val="0"/>
              <w:autoSpaceDN w:val="0"/>
              <w:adjustRightInd w:val="0"/>
              <w:jc w:val="right"/>
              <w:rPr>
                <w:rFonts w:ascii="宋体" w:cs="宋体"/>
                <w:color w:val="000000"/>
                <w:kern w:val="0"/>
                <w:sz w:val="20"/>
                <w:szCs w:val="20"/>
              </w:rPr>
            </w:pPr>
          </w:p>
        </w:tc>
        <w:tc>
          <w:tcPr>
            <w:tcW w:w="734" w:type="dxa"/>
            <w:vAlign w:val="center"/>
          </w:tcPr>
          <w:p>
            <w:pPr>
              <w:autoSpaceDE w:val="0"/>
              <w:autoSpaceDN w:val="0"/>
              <w:adjustRightInd w:val="0"/>
              <w:jc w:val="right"/>
              <w:rPr>
                <w:rFonts w:ascii="宋体" w:cs="宋体"/>
                <w:color w:val="000000"/>
                <w:kern w:val="0"/>
                <w:sz w:val="20"/>
                <w:szCs w:val="20"/>
              </w:rPr>
            </w:pPr>
          </w:p>
        </w:tc>
        <w:tc>
          <w:tcPr>
            <w:tcW w:w="910" w:type="dxa"/>
            <w:vAlign w:val="center"/>
          </w:tcPr>
          <w:p>
            <w:pPr>
              <w:autoSpaceDE w:val="0"/>
              <w:autoSpaceDN w:val="0"/>
              <w:adjustRightInd w:val="0"/>
              <w:jc w:val="right"/>
              <w:rPr>
                <w:rFonts w:ascii="宋体" w:cs="宋体"/>
                <w:color w:val="000000"/>
                <w:kern w:val="0"/>
                <w:sz w:val="20"/>
                <w:szCs w:val="20"/>
              </w:rPr>
            </w:pPr>
          </w:p>
        </w:tc>
        <w:tc>
          <w:tcPr>
            <w:tcW w:w="708" w:type="dxa"/>
            <w:vAlign w:val="center"/>
          </w:tcPr>
          <w:p>
            <w:pPr>
              <w:autoSpaceDE w:val="0"/>
              <w:autoSpaceDN w:val="0"/>
              <w:adjustRightInd w:val="0"/>
              <w:jc w:val="right"/>
              <w:rPr>
                <w:rFonts w:ascii="宋体" w:cs="宋体"/>
                <w:color w:val="000000"/>
                <w:kern w:val="0"/>
                <w:sz w:val="20"/>
                <w:szCs w:val="20"/>
              </w:rPr>
            </w:pPr>
          </w:p>
        </w:tc>
        <w:tc>
          <w:tcPr>
            <w:tcW w:w="709" w:type="dxa"/>
            <w:vAlign w:val="center"/>
          </w:tcPr>
          <w:p>
            <w:pPr>
              <w:autoSpaceDE w:val="0"/>
              <w:autoSpaceDN w:val="0"/>
              <w:adjustRightInd w:val="0"/>
              <w:jc w:val="right"/>
              <w:rPr>
                <w:rFonts w:ascii="宋体" w:cs="宋体"/>
                <w:color w:val="000000"/>
                <w:kern w:val="0"/>
                <w:sz w:val="20"/>
                <w:szCs w:val="20"/>
              </w:rPr>
            </w:pPr>
          </w:p>
        </w:tc>
        <w:tc>
          <w:tcPr>
            <w:tcW w:w="714" w:type="dxa"/>
            <w:vAlign w:val="center"/>
          </w:tcPr>
          <w:p>
            <w:pPr>
              <w:autoSpaceDE w:val="0"/>
              <w:autoSpaceDN w:val="0"/>
              <w:adjustRightInd w:val="0"/>
              <w:jc w:val="right"/>
              <w:rPr>
                <w:rFonts w:ascii="宋体" w:cs="宋体"/>
                <w:color w:val="000000"/>
                <w:kern w:val="0"/>
                <w:sz w:val="20"/>
                <w:szCs w:val="20"/>
              </w:rPr>
            </w:pPr>
          </w:p>
        </w:tc>
        <w:tc>
          <w:tcPr>
            <w:tcW w:w="851" w:type="dxa"/>
            <w:vAlign w:val="center"/>
          </w:tcPr>
          <w:p>
            <w:pPr>
              <w:autoSpaceDE w:val="0"/>
              <w:autoSpaceDN w:val="0"/>
              <w:adjustRightInd w:val="0"/>
              <w:jc w:val="right"/>
              <w:rPr>
                <w:rFonts w:ascii="宋体" w:cs="宋体"/>
                <w:color w:val="000000"/>
                <w:kern w:val="0"/>
                <w:sz w:val="20"/>
                <w:szCs w:val="20"/>
              </w:rPr>
            </w:pPr>
          </w:p>
        </w:tc>
      </w:tr>
    </w:tbl>
    <w:p>
      <w:pPr>
        <w:pStyle w:val="9"/>
      </w:pPr>
    </w:p>
    <w:p>
      <w:pPr>
        <w:tabs>
          <w:tab w:val="left" w:pos="2775"/>
        </w:tabs>
        <w:rPr>
          <w:rFonts w:ascii="宋体" w:hAnsi="宋体"/>
          <w:sz w:val="24"/>
        </w:rPr>
        <w:sectPr>
          <w:pgSz w:w="16838" w:h="11906" w:orient="landscape"/>
          <w:pgMar w:top="1418" w:right="1985" w:bottom="1418" w:left="1928" w:header="851" w:footer="992" w:gutter="113"/>
          <w:cols w:space="425" w:num="1"/>
          <w:docGrid w:linePitch="312" w:charSpace="0"/>
        </w:sectPr>
      </w:pPr>
      <w:r>
        <w:rPr>
          <w:rFonts w:ascii="宋体" w:hAnsi="宋体"/>
          <w:sz w:val="24"/>
        </w:rPr>
        <w:tab/>
      </w:r>
    </w:p>
    <w:p>
      <w:pPr>
        <w:pStyle w:val="8"/>
        <w:spacing w:before="240" w:after="360"/>
        <w:rPr>
          <w:color w:val="000000"/>
        </w:rPr>
      </w:pPr>
      <w:bookmarkStart w:id="138" w:name="_Toc499456616"/>
      <w:r>
        <w:rPr>
          <w:rFonts w:hint="eastAsia"/>
          <w:color w:val="000000"/>
        </w:rPr>
        <w:t>A108000</w:t>
      </w:r>
      <w:r>
        <w:rPr>
          <w:color w:val="000000"/>
        </w:rPr>
        <w:tab/>
      </w:r>
      <w:r>
        <w:rPr>
          <w:rFonts w:hint="eastAsia"/>
          <w:color w:val="000000"/>
        </w:rPr>
        <w:t>《境外所得税收抵免明细表》填报说明</w:t>
      </w:r>
      <w:bookmarkEnd w:id="138"/>
    </w:p>
    <w:p>
      <w:pPr>
        <w:spacing w:line="360" w:lineRule="auto"/>
        <w:ind w:firstLine="523" w:firstLineChars="218"/>
        <w:rPr>
          <w:rFonts w:ascii="宋体" w:hAnsi="宋体"/>
          <w:color w:val="000000"/>
          <w:sz w:val="24"/>
        </w:rPr>
      </w:pPr>
      <w:r>
        <w:rPr>
          <w:rFonts w:hint="eastAsia" w:ascii="宋体" w:hAnsi="宋体"/>
          <w:color w:val="000000"/>
          <w:sz w:val="24"/>
        </w:rPr>
        <w:t>本表适用于取得境外所得的纳税人填报。纳税人应根据税法、《财政部 国家税务总局关于企业境外所得税收抵免有关问题的通知》（财税〔2009〕125号）和《国家税务总局关于发布〈企业境外所得税收抵免操作指南〉的公告》（国家税务总局公告2010年第1号）、《财政部 国家税务总局关于我国石油企业从事油（气）资源开采所得税收抵免有关问题的通知》（财税〔</w:t>
      </w:r>
      <w:r>
        <w:rPr>
          <w:rFonts w:ascii="宋体" w:hAnsi="宋体"/>
          <w:color w:val="000000"/>
          <w:sz w:val="24"/>
        </w:rPr>
        <w:t>201</w:t>
      </w:r>
      <w:r>
        <w:rPr>
          <w:rFonts w:hint="eastAsia" w:ascii="宋体" w:hAnsi="宋体"/>
          <w:color w:val="000000"/>
          <w:sz w:val="24"/>
        </w:rPr>
        <w:t>1〕23号）、《财政部 税务总局关于完善企业境外所得税收抵免政策问题的通知》（财税〔</w:t>
      </w:r>
      <w:r>
        <w:rPr>
          <w:rFonts w:ascii="宋体" w:hAnsi="宋体"/>
          <w:color w:val="000000"/>
          <w:sz w:val="24"/>
        </w:rPr>
        <w:t>2017</w:t>
      </w:r>
      <w:r>
        <w:rPr>
          <w:rFonts w:hint="eastAsia" w:ascii="宋体" w:hAnsi="宋体"/>
          <w:color w:val="000000"/>
          <w:sz w:val="24"/>
        </w:rPr>
        <w:t>〕</w:t>
      </w:r>
      <w:r>
        <w:rPr>
          <w:rFonts w:ascii="宋体" w:hAnsi="宋体"/>
          <w:color w:val="000000"/>
          <w:sz w:val="24"/>
        </w:rPr>
        <w:t>84</w:t>
      </w:r>
      <w:r>
        <w:rPr>
          <w:rFonts w:hint="eastAsia" w:ascii="宋体" w:hAnsi="宋体"/>
          <w:color w:val="000000"/>
          <w:sz w:val="24"/>
        </w:rPr>
        <w:t>号）规定，填报本年来源于或发生于不同国家、地区的所得按照税收规定计算应缴纳和应抵免的企业所得税。</w:t>
      </w:r>
    </w:p>
    <w:p>
      <w:pPr>
        <w:pStyle w:val="11"/>
        <w:ind w:firstLine="482"/>
      </w:pPr>
      <w:r>
        <w:rPr>
          <w:rFonts w:hint="eastAsia"/>
        </w:rPr>
        <w:t>一、有关项目填报说明</w:t>
      </w:r>
    </w:p>
    <w:p>
      <w:pPr>
        <w:pStyle w:val="12"/>
        <w:rPr>
          <w:rFonts w:hint="eastAsia"/>
        </w:rPr>
      </w:pPr>
      <w:r>
        <w:rPr>
          <w:rFonts w:hint="eastAsia"/>
        </w:rPr>
        <w:t>（一）行次填报</w:t>
      </w:r>
    </w:p>
    <w:p>
      <w:pPr>
        <w:pStyle w:val="9"/>
        <w:rPr>
          <w:rFonts w:hint="eastAsia"/>
          <w:color w:val="000000"/>
        </w:rPr>
      </w:pPr>
      <w:r>
        <w:rPr>
          <w:rFonts w:hint="eastAsia"/>
          <w:color w:val="000000"/>
        </w:rPr>
        <w:t>纳税人若选择“分国（地区）不分项”的境外所得抵免方式，应根据表</w:t>
      </w:r>
      <w:r>
        <w:rPr>
          <w:color w:val="000000"/>
        </w:rPr>
        <w:t>A108010</w:t>
      </w:r>
      <w:r>
        <w:rPr>
          <w:rFonts w:hint="eastAsia"/>
          <w:color w:val="000000"/>
        </w:rPr>
        <w:t>、表</w:t>
      </w:r>
      <w:r>
        <w:rPr>
          <w:color w:val="000000"/>
        </w:rPr>
        <w:t>A108020</w:t>
      </w:r>
      <w:r>
        <w:rPr>
          <w:rFonts w:hint="eastAsia"/>
          <w:color w:val="000000"/>
        </w:rPr>
        <w:t>、表</w:t>
      </w:r>
      <w:r>
        <w:rPr>
          <w:color w:val="000000"/>
        </w:rPr>
        <w:t>A108030</w:t>
      </w:r>
      <w:r>
        <w:rPr>
          <w:rFonts w:hint="eastAsia"/>
          <w:color w:val="000000"/>
        </w:rPr>
        <w:t>分国（地区）别逐行填报本表；纳税人若选择“不分国（地区）不分项”的境外所得抵免方式，应按照税收规定计算可抵免境外所得税税额和抵免限额，并根据表</w:t>
      </w:r>
      <w:r>
        <w:rPr>
          <w:color w:val="000000"/>
        </w:rPr>
        <w:t>A108010</w:t>
      </w:r>
      <w:r>
        <w:rPr>
          <w:rFonts w:hint="eastAsia"/>
          <w:color w:val="000000"/>
        </w:rPr>
        <w:t>、表</w:t>
      </w:r>
      <w:r>
        <w:rPr>
          <w:color w:val="000000"/>
        </w:rPr>
        <w:t>A108020</w:t>
      </w:r>
      <w:r>
        <w:rPr>
          <w:rFonts w:hint="eastAsia"/>
          <w:color w:val="000000"/>
        </w:rPr>
        <w:t>、表</w:t>
      </w:r>
      <w:r>
        <w:rPr>
          <w:color w:val="000000"/>
        </w:rPr>
        <w:t>A108030</w:t>
      </w:r>
      <w:r>
        <w:rPr>
          <w:rFonts w:hint="eastAsia"/>
          <w:color w:val="000000"/>
        </w:rPr>
        <w:t>的合计金额填报本表第1行。</w:t>
      </w:r>
    </w:p>
    <w:p>
      <w:pPr>
        <w:pStyle w:val="12"/>
        <w:rPr>
          <w:rFonts w:hint="eastAsia"/>
        </w:rPr>
      </w:pPr>
      <w:r>
        <w:rPr>
          <w:rFonts w:hint="eastAsia"/>
        </w:rPr>
        <w:t>（二）列次填报</w:t>
      </w:r>
    </w:p>
    <w:p>
      <w:pPr>
        <w:pStyle w:val="9"/>
        <w:rPr>
          <w:color w:val="000000"/>
        </w:rPr>
      </w:pPr>
      <w:r>
        <w:rPr>
          <w:rFonts w:hint="eastAsia"/>
          <w:color w:val="000000"/>
        </w:rPr>
        <w:t>1.第1列“国家（地区）”：纳税人若选择“分国（地区）不分项”的境外所得抵免方式，填报纳税人境外所得来源的国家（地区）名称，来源于同一国家（地区）的境外所得合并到一行填报；纳税人若选择“不分国（地区）不分项”的境外所得抵免方式，填报“不分国（地区）不分项”。</w:t>
      </w:r>
    </w:p>
    <w:p>
      <w:pPr>
        <w:pStyle w:val="9"/>
        <w:rPr>
          <w:color w:val="000000"/>
        </w:rPr>
      </w:pPr>
      <w:r>
        <w:rPr>
          <w:rFonts w:hint="eastAsia"/>
          <w:color w:val="000000"/>
        </w:rPr>
        <w:t>2.第2列“境外税前所得”：填报《境外所得纳税调整后所得明细表》（A108010）第14列的金额。</w:t>
      </w:r>
    </w:p>
    <w:p>
      <w:pPr>
        <w:pStyle w:val="9"/>
        <w:rPr>
          <w:color w:val="000000"/>
        </w:rPr>
      </w:pPr>
      <w:r>
        <w:rPr>
          <w:rFonts w:hint="eastAsia"/>
          <w:color w:val="000000"/>
        </w:rPr>
        <w:t>3.第3列“境外所得纳税调整后所得”：填报《境外所得纳税调整后所得明细表》（A108010）第18列的金额。</w:t>
      </w:r>
    </w:p>
    <w:p>
      <w:pPr>
        <w:pStyle w:val="9"/>
        <w:rPr>
          <w:color w:val="000000"/>
        </w:rPr>
      </w:pPr>
      <w:r>
        <w:rPr>
          <w:rFonts w:hint="eastAsia"/>
          <w:color w:val="000000"/>
        </w:rPr>
        <w:t>4.第4列“弥补境外以前年度亏损”：填报《境外分支机构弥补亏损明细表》（A108020）第4列和第13列的合计金额。</w:t>
      </w:r>
    </w:p>
    <w:p>
      <w:pPr>
        <w:pStyle w:val="9"/>
        <w:rPr>
          <w:color w:val="000000"/>
        </w:rPr>
      </w:pPr>
      <w:r>
        <w:rPr>
          <w:rFonts w:hint="eastAsia"/>
          <w:color w:val="000000"/>
        </w:rPr>
        <w:t>5.第5列“境外应纳税所得额”：填报第3-4列的余额。当第3-4列＜0时，本列填报0。</w:t>
      </w:r>
    </w:p>
    <w:p>
      <w:pPr>
        <w:pStyle w:val="9"/>
        <w:rPr>
          <w:color w:val="000000"/>
        </w:rPr>
      </w:pPr>
      <w:r>
        <w:rPr>
          <w:rFonts w:hint="eastAsia"/>
          <w:color w:val="000000"/>
        </w:rPr>
        <w:t>6.第6列“抵减境内亏损”：当纳税人选择用境外所得弥补境内亏损时，填报纳税人境外所得按照税收规定抵减境内的亏损额（包括弥补的当年度境内亏损额和以前年度境内亏损额）；当纳税人选择不用境外所得弥补境内亏损时，填报0。</w:t>
      </w:r>
    </w:p>
    <w:p>
      <w:pPr>
        <w:pStyle w:val="9"/>
        <w:rPr>
          <w:color w:val="000000"/>
        </w:rPr>
      </w:pPr>
      <w:r>
        <w:rPr>
          <w:rFonts w:hint="eastAsia"/>
          <w:color w:val="000000"/>
        </w:rPr>
        <w:t>7.第7列“抵减境内亏损后的境外应纳税所得额”：填报第5-6列的余额。</w:t>
      </w:r>
    </w:p>
    <w:p>
      <w:pPr>
        <w:pStyle w:val="9"/>
        <w:rPr>
          <w:color w:val="000000"/>
        </w:rPr>
      </w:pPr>
      <w:r>
        <w:rPr>
          <w:rFonts w:hint="eastAsia"/>
          <w:color w:val="000000"/>
        </w:rPr>
        <w:t>8.第8列“税率”：填报法定税率25%。符合《财政部 国家税务总局关于高新技术企业境外所得适用税率及税收抵免问题的通知》（财税〔2011〕47号）第一条规定的高新技术企业填报15%。</w:t>
      </w:r>
    </w:p>
    <w:p>
      <w:pPr>
        <w:pStyle w:val="9"/>
        <w:rPr>
          <w:color w:val="000000"/>
        </w:rPr>
      </w:pPr>
      <w:r>
        <w:rPr>
          <w:rFonts w:hint="eastAsia"/>
          <w:color w:val="000000"/>
        </w:rPr>
        <w:t>9.第9列“境外所得应纳税额”：填报第7×8列的金额。</w:t>
      </w:r>
    </w:p>
    <w:p>
      <w:pPr>
        <w:pStyle w:val="9"/>
        <w:rPr>
          <w:color w:val="000000"/>
        </w:rPr>
      </w:pPr>
      <w:r>
        <w:rPr>
          <w:rFonts w:hint="eastAsia"/>
          <w:color w:val="000000"/>
        </w:rPr>
        <w:t>10.第10列“境外所得可抵免税额”：填报表A108010第13列的金额。</w:t>
      </w:r>
    </w:p>
    <w:p>
      <w:pPr>
        <w:pStyle w:val="9"/>
        <w:rPr>
          <w:color w:val="000000"/>
        </w:rPr>
      </w:pPr>
      <w:r>
        <w:rPr>
          <w:rFonts w:hint="eastAsia"/>
          <w:color w:val="000000"/>
        </w:rPr>
        <w:t>11.第11列“境外所得抵免限额”：境外所得抵免限额按以下公式计算：</w:t>
      </w:r>
    </w:p>
    <w:p>
      <w:pPr>
        <w:pStyle w:val="9"/>
        <w:rPr>
          <w:color w:val="000000"/>
        </w:rPr>
      </w:pPr>
      <w:r>
        <w:rPr>
          <w:rFonts w:hint="eastAsia"/>
          <w:color w:val="000000"/>
        </w:rPr>
        <w:t>抵免限额＝中国境内、境外所得依照企业所得税法和条例的规定计算的应纳税总额×来源于某国（地区）的应纳税所得额÷中国境内、境外应纳税所得总额。</w:t>
      </w:r>
    </w:p>
    <w:p>
      <w:pPr>
        <w:pStyle w:val="9"/>
        <w:rPr>
          <w:color w:val="000000"/>
        </w:rPr>
      </w:pPr>
      <w:r>
        <w:rPr>
          <w:rFonts w:hint="eastAsia"/>
          <w:color w:val="000000"/>
        </w:rPr>
        <w:t>12.第12列“本年可抵免境外所得税额”：填报纳税人本年来源于境外的所得已缴纳所得税在本年度允许抵免的金额。填报第10列、第11列孰小值。</w:t>
      </w:r>
    </w:p>
    <w:p>
      <w:pPr>
        <w:pStyle w:val="9"/>
        <w:rPr>
          <w:color w:val="000000"/>
        </w:rPr>
      </w:pPr>
      <w:r>
        <w:rPr>
          <w:rFonts w:hint="eastAsia"/>
          <w:color w:val="000000"/>
        </w:rPr>
        <w:t>13.第13列“未超过境外所得税抵免限额的余额”：填报纳税人本年在抵免限额内抵免完境外所得税后有余额的，可用于抵免以前年度结转的待抵免的所得税额。本列填报第11-12列的余额。</w:t>
      </w:r>
    </w:p>
    <w:p>
      <w:pPr>
        <w:pStyle w:val="9"/>
        <w:rPr>
          <w:color w:val="000000"/>
        </w:rPr>
      </w:pPr>
      <w:r>
        <w:rPr>
          <w:rFonts w:hint="eastAsia"/>
          <w:color w:val="000000"/>
        </w:rPr>
        <w:t>14.第14列“本年可抵免以前年度未抵免境外所得税额”：填报纳税人本年可抵免以前年度未抵免、结转到本年度抵免的境外所得税额。填报第1</w:t>
      </w:r>
      <w:r>
        <w:rPr>
          <w:color w:val="000000"/>
        </w:rPr>
        <w:t>0</w:t>
      </w:r>
      <w:r>
        <w:rPr>
          <w:rFonts w:hint="eastAsia"/>
          <w:color w:val="000000"/>
        </w:rPr>
        <w:t>列、《跨年度结转抵免境外所得税明细表》（A108030）第7列孰小值。</w:t>
      </w:r>
    </w:p>
    <w:p>
      <w:pPr>
        <w:pStyle w:val="9"/>
        <w:rPr>
          <w:color w:val="000000"/>
        </w:rPr>
      </w:pPr>
      <w:r>
        <w:rPr>
          <w:rFonts w:hint="eastAsia"/>
          <w:color w:val="000000"/>
        </w:rPr>
        <w:t>15.第15列至第18列由选择简易办法计算抵免额的纳税人填报。</w:t>
      </w:r>
    </w:p>
    <w:p>
      <w:pPr>
        <w:pStyle w:val="9"/>
        <w:rPr>
          <w:color w:val="000000"/>
        </w:rPr>
      </w:pPr>
      <w:r>
        <w:rPr>
          <w:rFonts w:hint="eastAsia"/>
          <w:color w:val="000000"/>
        </w:rPr>
        <w:t>（1）第15列“按低于12.5%的实际税率计算的抵免额”：纳税人从境外取得营业利润所得以及符合境外税额间接抵免条件的股息所得，所得来源国（地区）的实际有效税率低于12.5%的，填报按照实际有效税率计算的抵免额。</w:t>
      </w:r>
    </w:p>
    <w:p>
      <w:pPr>
        <w:pStyle w:val="9"/>
        <w:rPr>
          <w:color w:val="000000"/>
        </w:rPr>
      </w:pPr>
      <w:r>
        <w:rPr>
          <w:rFonts w:hint="eastAsia"/>
          <w:color w:val="000000"/>
        </w:rPr>
        <w:t>（2）第16列“按12.5%计算的抵免额”：纳税人从境外取得营业利润所得以及符合境外税额间接抵免条件的股息所得，除第15列情形外，填报按照12.5%计算的抵免额。</w:t>
      </w:r>
    </w:p>
    <w:p>
      <w:pPr>
        <w:pStyle w:val="9"/>
        <w:rPr>
          <w:color w:val="000000"/>
        </w:rPr>
      </w:pPr>
      <w:r>
        <w:rPr>
          <w:rFonts w:hint="eastAsia"/>
          <w:color w:val="000000"/>
        </w:rPr>
        <w:t>（3）第17列“按25%计算的抵免额”：纳税人从境外取得营业利润所得以及符合境外税额间接抵免条件的股息所得，所得来源国（地区）的实际有效税率高于25%的，填报按照25%计算的抵免额。</w:t>
      </w:r>
    </w:p>
    <w:p>
      <w:pPr>
        <w:pStyle w:val="9"/>
        <w:rPr>
          <w:color w:val="000000"/>
        </w:rPr>
      </w:pPr>
      <w:r>
        <w:rPr>
          <w:rFonts w:hint="eastAsia"/>
          <w:color w:val="000000"/>
        </w:rPr>
        <w:t>16.第19列“境外所得抵免所得税额合计”：填报第12+14+18列的合计金额。</w:t>
      </w:r>
    </w:p>
    <w:p>
      <w:pPr>
        <w:pStyle w:val="11"/>
        <w:ind w:firstLine="482"/>
      </w:pPr>
      <w:r>
        <w:rPr>
          <w:rFonts w:hint="eastAsia"/>
        </w:rPr>
        <w:t>二、表内、表间关系</w:t>
      </w:r>
    </w:p>
    <w:p>
      <w:pPr>
        <w:pStyle w:val="12"/>
      </w:pPr>
      <w:r>
        <w:rPr>
          <w:rFonts w:hint="eastAsia"/>
        </w:rPr>
        <w:t>（一）表内关系</w:t>
      </w:r>
    </w:p>
    <w:p>
      <w:pPr>
        <w:pStyle w:val="9"/>
        <w:rPr>
          <w:rFonts w:hint="eastAsia"/>
          <w:color w:val="000000"/>
        </w:rPr>
      </w:pPr>
      <w:r>
        <w:rPr>
          <w:rFonts w:hint="eastAsia"/>
          <w:color w:val="000000"/>
        </w:rPr>
        <w:t>1.第5列＝第3-4列，当第3-4列＜0时，本列＝0。</w:t>
      </w:r>
    </w:p>
    <w:p>
      <w:pPr>
        <w:pStyle w:val="9"/>
        <w:rPr>
          <w:color w:val="000000"/>
        </w:rPr>
      </w:pPr>
      <w:r>
        <w:rPr>
          <w:rFonts w:hint="eastAsia"/>
          <w:color w:val="000000"/>
        </w:rPr>
        <w:t>2.第6列≤第5列。</w:t>
      </w:r>
    </w:p>
    <w:p>
      <w:pPr>
        <w:pStyle w:val="9"/>
        <w:rPr>
          <w:color w:val="000000"/>
        </w:rPr>
      </w:pPr>
      <w:r>
        <w:rPr>
          <w:rFonts w:hint="eastAsia"/>
          <w:color w:val="000000"/>
        </w:rPr>
        <w:t>3.第7列＝第5-6列。</w:t>
      </w:r>
    </w:p>
    <w:p>
      <w:pPr>
        <w:pStyle w:val="9"/>
        <w:rPr>
          <w:color w:val="000000"/>
        </w:rPr>
      </w:pPr>
      <w:r>
        <w:rPr>
          <w:rFonts w:hint="eastAsia"/>
          <w:color w:val="000000"/>
        </w:rPr>
        <w:t>4.第9列＝第7×8列。</w:t>
      </w:r>
    </w:p>
    <w:p>
      <w:pPr>
        <w:pStyle w:val="9"/>
        <w:rPr>
          <w:color w:val="000000"/>
        </w:rPr>
      </w:pPr>
      <w:r>
        <w:rPr>
          <w:rFonts w:hint="eastAsia"/>
          <w:color w:val="000000"/>
        </w:rPr>
        <w:t>5.第12列＝第10列、第11列孰小值。</w:t>
      </w:r>
    </w:p>
    <w:p>
      <w:pPr>
        <w:pStyle w:val="9"/>
        <w:rPr>
          <w:color w:val="000000"/>
        </w:rPr>
      </w:pPr>
      <w:r>
        <w:rPr>
          <w:rFonts w:hint="eastAsia"/>
          <w:color w:val="000000"/>
        </w:rPr>
        <w:t>6.第13列＝第11-12列。</w:t>
      </w:r>
    </w:p>
    <w:p>
      <w:pPr>
        <w:pStyle w:val="9"/>
        <w:rPr>
          <w:color w:val="000000"/>
        </w:rPr>
      </w:pPr>
      <w:r>
        <w:rPr>
          <w:rFonts w:hint="eastAsia"/>
          <w:color w:val="000000"/>
        </w:rPr>
        <w:t>7.第14列≤第13列。</w:t>
      </w:r>
    </w:p>
    <w:p>
      <w:pPr>
        <w:pStyle w:val="9"/>
        <w:rPr>
          <w:color w:val="000000"/>
        </w:rPr>
      </w:pPr>
      <w:r>
        <w:rPr>
          <w:rFonts w:hint="eastAsia"/>
          <w:color w:val="000000"/>
        </w:rPr>
        <w:t>8.第18列＝第15+16+17列。</w:t>
      </w:r>
    </w:p>
    <w:p>
      <w:pPr>
        <w:pStyle w:val="9"/>
        <w:rPr>
          <w:color w:val="000000"/>
        </w:rPr>
      </w:pPr>
      <w:r>
        <w:rPr>
          <w:rFonts w:hint="eastAsia"/>
          <w:color w:val="000000"/>
        </w:rPr>
        <w:t>9.第19列＝第12+14+18列。</w:t>
      </w:r>
    </w:p>
    <w:p>
      <w:pPr>
        <w:pStyle w:val="12"/>
      </w:pPr>
      <w:r>
        <w:rPr>
          <w:rFonts w:hint="eastAsia"/>
        </w:rPr>
        <w:t>（二）表间关系</w:t>
      </w:r>
    </w:p>
    <w:p>
      <w:pPr>
        <w:pStyle w:val="9"/>
        <w:rPr>
          <w:color w:val="000000"/>
        </w:rPr>
      </w:pPr>
      <w:r>
        <w:rPr>
          <w:rFonts w:hint="eastAsia"/>
          <w:color w:val="000000"/>
        </w:rPr>
        <w:t>1.若选择“分国（地区）不分项”的境外所得抵免方式，第2列各行＝表A108010第14列相应行次；若选择“不分国（地区）不分项” 的境外所得抵免方式，第1行第2列＝表A108010第14列合计。</w:t>
      </w:r>
    </w:p>
    <w:p>
      <w:pPr>
        <w:pStyle w:val="9"/>
        <w:rPr>
          <w:color w:val="000000"/>
        </w:rPr>
      </w:pPr>
      <w:r>
        <w:rPr>
          <w:rFonts w:hint="eastAsia"/>
          <w:color w:val="000000"/>
        </w:rPr>
        <w:t>2.若选择“分国（地区）不分项”的境外所得抵免方式，第3列各行＝表A108010第18列相应行次；若选择“不分国（地区）不分项” 的境外所得抵免方式，第1行第</w:t>
      </w:r>
      <w:r>
        <w:rPr>
          <w:color w:val="000000"/>
        </w:rPr>
        <w:t>3</w:t>
      </w:r>
      <w:r>
        <w:rPr>
          <w:rFonts w:hint="eastAsia"/>
          <w:color w:val="000000"/>
        </w:rPr>
        <w:t>列＝表</w:t>
      </w:r>
      <w:r>
        <w:rPr>
          <w:color w:val="000000"/>
        </w:rPr>
        <w:t>A108010</w:t>
      </w:r>
      <w:r>
        <w:rPr>
          <w:rFonts w:hint="eastAsia"/>
          <w:color w:val="000000"/>
        </w:rPr>
        <w:t>第</w:t>
      </w:r>
      <w:r>
        <w:rPr>
          <w:color w:val="000000"/>
        </w:rPr>
        <w:t>18</w:t>
      </w:r>
      <w:r>
        <w:rPr>
          <w:rFonts w:hint="eastAsia"/>
          <w:color w:val="000000"/>
        </w:rPr>
        <w:t>列合计。</w:t>
      </w:r>
    </w:p>
    <w:p>
      <w:pPr>
        <w:pStyle w:val="9"/>
        <w:rPr>
          <w:rFonts w:hint="eastAsia"/>
          <w:color w:val="000000"/>
        </w:rPr>
      </w:pPr>
      <w:r>
        <w:rPr>
          <w:rFonts w:hint="eastAsia"/>
          <w:color w:val="000000"/>
        </w:rPr>
        <w:t>3.若选择“分国（地区）不分项”的境外所得抵免方式，第4列各行＝表A108020第4列相应行次+第13列相应行次；若选择“不分国（地区）不分项” 的境外所得抵免方式，第1行第</w:t>
      </w:r>
      <w:r>
        <w:rPr>
          <w:color w:val="000000"/>
        </w:rPr>
        <w:t>4</w:t>
      </w:r>
      <w:r>
        <w:rPr>
          <w:rFonts w:hint="eastAsia"/>
          <w:color w:val="000000"/>
        </w:rPr>
        <w:t>列＝表A108020第4列合计+第13列合计。</w:t>
      </w:r>
    </w:p>
    <w:p>
      <w:pPr>
        <w:pStyle w:val="9"/>
        <w:rPr>
          <w:b/>
          <w:color w:val="000000"/>
        </w:rPr>
      </w:pPr>
      <w:r>
        <w:rPr>
          <w:rFonts w:hint="eastAsia"/>
          <w:color w:val="000000"/>
        </w:rPr>
        <w:t>4.若选择“分国（地区）不分项”的境外所得抵免方式，第6列合计≤第5列合计、表A106000第1行至第5行(第4列的绝对值-第9列-第10列)合计+表A100000第18行的孰小值；若选择“不分国（地区）不分项” 的境外所得抵免方式，第1行第6列≤第1行第5列、表A106000第1行至第5行(第4列的绝对值-第9列-第10列)合计+表A100000第18行的孰小值。</w:t>
      </w:r>
    </w:p>
    <w:p>
      <w:pPr>
        <w:pStyle w:val="9"/>
        <w:rPr>
          <w:color w:val="000000"/>
        </w:rPr>
      </w:pPr>
      <w:r>
        <w:rPr>
          <w:rFonts w:hint="eastAsia"/>
          <w:color w:val="000000"/>
        </w:rPr>
        <w:t>5.第9列合计＝表A100000第29行。</w:t>
      </w:r>
    </w:p>
    <w:p>
      <w:pPr>
        <w:pStyle w:val="9"/>
        <w:rPr>
          <w:color w:val="000000"/>
        </w:rPr>
      </w:pPr>
      <w:r>
        <w:rPr>
          <w:rFonts w:hint="eastAsia"/>
          <w:color w:val="000000"/>
        </w:rPr>
        <w:t>6.若选择“分国（地区）不分项”的境外所得抵免方式，第10列各行＝表A108010第13列相应行次；若选择“不分国（地区）不分项” 的境外所得抵免方式，第1行第10列＝表A108010第13列合计。</w:t>
      </w:r>
    </w:p>
    <w:p>
      <w:pPr>
        <w:pStyle w:val="9"/>
        <w:rPr>
          <w:color w:val="000000"/>
        </w:rPr>
      </w:pPr>
      <w:r>
        <w:rPr>
          <w:rFonts w:hint="eastAsia"/>
          <w:color w:val="000000"/>
        </w:rPr>
        <w:t>7.若选择“分国（地区）不分项”的境外所得抵免方式，第14列各行＝表A108030第13列相应行次；若选择“不分国（地区）不分项” 的境外所得抵免方式，第1行第14列＝表A108030第13列合计。</w:t>
      </w:r>
    </w:p>
    <w:p>
      <w:pPr>
        <w:pStyle w:val="9"/>
        <w:rPr>
          <w:color w:val="000000"/>
        </w:rPr>
        <w:sectPr>
          <w:pgSz w:w="11906" w:h="16838"/>
          <w:pgMar w:top="1985" w:right="1418" w:bottom="1928" w:left="1418" w:header="851" w:footer="992" w:gutter="113"/>
          <w:cols w:space="425" w:num="1"/>
          <w:titlePg/>
          <w:docGrid w:linePitch="312" w:charSpace="0"/>
        </w:sectPr>
      </w:pPr>
      <w:r>
        <w:rPr>
          <w:rFonts w:hint="eastAsia"/>
          <w:color w:val="000000"/>
        </w:rPr>
        <w:t>8.第19列合计＝表A100000第30行。</w:t>
      </w:r>
    </w:p>
    <w:p>
      <w:pPr>
        <w:pStyle w:val="13"/>
      </w:pPr>
      <w:bookmarkStart w:id="139" w:name="_Toc499456617"/>
      <w:r>
        <w:rPr>
          <w:rFonts w:hint="eastAsia"/>
        </w:rPr>
        <w:t>A108010</w:t>
      </w:r>
      <w:r>
        <w:tab/>
      </w:r>
      <w:r>
        <w:rPr>
          <w:rFonts w:hint="eastAsia"/>
        </w:rPr>
        <w:t>境外所得纳税调整后所得明细表</w:t>
      </w:r>
      <w:bookmarkEnd w:id="139"/>
    </w:p>
    <w:tbl>
      <w:tblPr>
        <w:tblStyle w:val="7"/>
        <w:tblW w:w="14775" w:type="dxa"/>
        <w:jc w:val="center"/>
        <w:tblInd w:w="0" w:type="dxa"/>
        <w:tblLayout w:type="fixed"/>
        <w:tblCellMar>
          <w:top w:w="0" w:type="dxa"/>
          <w:left w:w="108" w:type="dxa"/>
          <w:bottom w:w="0" w:type="dxa"/>
          <w:right w:w="108" w:type="dxa"/>
        </w:tblCellMar>
      </w:tblPr>
      <w:tblGrid>
        <w:gridCol w:w="552"/>
        <w:gridCol w:w="824"/>
        <w:gridCol w:w="788"/>
        <w:gridCol w:w="788"/>
        <w:gridCol w:w="788"/>
        <w:gridCol w:w="788"/>
        <w:gridCol w:w="789"/>
        <w:gridCol w:w="788"/>
        <w:gridCol w:w="788"/>
        <w:gridCol w:w="788"/>
        <w:gridCol w:w="788"/>
        <w:gridCol w:w="789"/>
        <w:gridCol w:w="788"/>
        <w:gridCol w:w="788"/>
        <w:gridCol w:w="788"/>
        <w:gridCol w:w="789"/>
        <w:gridCol w:w="788"/>
        <w:gridCol w:w="788"/>
        <w:gridCol w:w="788"/>
      </w:tblGrid>
      <w:tr>
        <w:tblPrEx>
          <w:tblLayout w:type="fixed"/>
          <w:tblCellMar>
            <w:top w:w="0" w:type="dxa"/>
            <w:left w:w="108" w:type="dxa"/>
            <w:bottom w:w="0" w:type="dxa"/>
            <w:right w:w="108" w:type="dxa"/>
          </w:tblCellMar>
        </w:tblPrEx>
        <w:trPr>
          <w:trHeight w:val="597" w:hRule="atLeast"/>
          <w:jc w:val="center"/>
        </w:trPr>
        <w:tc>
          <w:tcPr>
            <w:tcW w:w="552" w:type="dxa"/>
            <w:vMerge w:val="restart"/>
            <w:tcBorders>
              <w:top w:val="single" w:color="auto" w:sz="12" w:space="0"/>
              <w:left w:val="single" w:color="auto" w:sz="12"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行次</w:t>
            </w:r>
          </w:p>
        </w:tc>
        <w:tc>
          <w:tcPr>
            <w:tcW w:w="824" w:type="dxa"/>
            <w:vMerge w:val="restart"/>
            <w:tcBorders>
              <w:top w:val="single" w:color="auto" w:sz="12" w:space="0"/>
              <w:left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国家（地区）</w:t>
            </w:r>
          </w:p>
        </w:tc>
        <w:tc>
          <w:tcPr>
            <w:tcW w:w="6305" w:type="dxa"/>
            <w:gridSpan w:val="8"/>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境外税后所得</w:t>
            </w:r>
          </w:p>
        </w:tc>
        <w:tc>
          <w:tcPr>
            <w:tcW w:w="3153" w:type="dxa"/>
            <w:gridSpan w:val="4"/>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境外所得可抵免的所得税额</w:t>
            </w:r>
          </w:p>
        </w:tc>
        <w:tc>
          <w:tcPr>
            <w:tcW w:w="788" w:type="dxa"/>
            <w:vMerge w:val="restart"/>
            <w:tcBorders>
              <w:top w:val="single" w:color="auto" w:sz="12" w:space="0"/>
              <w:left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境外税前所得</w:t>
            </w:r>
          </w:p>
        </w:tc>
        <w:tc>
          <w:tcPr>
            <w:tcW w:w="789" w:type="dxa"/>
            <w:vMerge w:val="restart"/>
            <w:tcBorders>
              <w:top w:val="single" w:color="auto" w:sz="12" w:space="0"/>
              <w:left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境外分支机构收入与支出纳税调整额</w:t>
            </w:r>
          </w:p>
        </w:tc>
        <w:tc>
          <w:tcPr>
            <w:tcW w:w="788" w:type="dxa"/>
            <w:vMerge w:val="restart"/>
            <w:tcBorders>
              <w:top w:val="single" w:color="auto" w:sz="12" w:space="0"/>
              <w:left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境外分支机构调整分摊扣除的有关成本费用</w:t>
            </w:r>
          </w:p>
        </w:tc>
        <w:tc>
          <w:tcPr>
            <w:tcW w:w="788" w:type="dxa"/>
            <w:vMerge w:val="restart"/>
            <w:tcBorders>
              <w:top w:val="single" w:color="auto" w:sz="12" w:space="0"/>
              <w:left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境外所得对应调整的相关成本费用支出</w:t>
            </w:r>
          </w:p>
        </w:tc>
        <w:tc>
          <w:tcPr>
            <w:tcW w:w="788" w:type="dxa"/>
            <w:vMerge w:val="restart"/>
            <w:tcBorders>
              <w:top w:val="single" w:color="auto" w:sz="12" w:space="0"/>
              <w:left w:val="single" w:color="auto" w:sz="6" w:space="0"/>
              <w:right w:val="single" w:color="auto" w:sz="12"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境外所得纳税调整后所得</w:t>
            </w:r>
          </w:p>
        </w:tc>
      </w:tr>
      <w:tr>
        <w:tblPrEx>
          <w:tblLayout w:type="fixed"/>
          <w:tblCellMar>
            <w:top w:w="0" w:type="dxa"/>
            <w:left w:w="108" w:type="dxa"/>
            <w:bottom w:w="0" w:type="dxa"/>
            <w:right w:w="108" w:type="dxa"/>
          </w:tblCellMar>
        </w:tblPrEx>
        <w:trPr>
          <w:trHeight w:val="1422" w:hRule="atLeast"/>
          <w:jc w:val="center"/>
        </w:trPr>
        <w:tc>
          <w:tcPr>
            <w:tcW w:w="552" w:type="dxa"/>
            <w:vMerge w:val="continue"/>
            <w:tcBorders>
              <w:left w:val="single" w:color="auto" w:sz="12"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p>
        </w:tc>
        <w:tc>
          <w:tcPr>
            <w:tcW w:w="824" w:type="dxa"/>
            <w:vMerge w:val="continue"/>
            <w:tcBorders>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分支机构营业利润所得</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股息、红利等权益性投资所得</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利息所得</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租金所得</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特许权使用费所得</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财产转让所得</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其他所得</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小计</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直接缴纳的所得税额</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间接负担的所得税额</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享受税收饶让抵免税额</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小计</w:t>
            </w:r>
          </w:p>
        </w:tc>
        <w:tc>
          <w:tcPr>
            <w:tcW w:w="788" w:type="dxa"/>
            <w:vMerge w:val="continue"/>
            <w:tcBorders>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p>
        </w:tc>
        <w:tc>
          <w:tcPr>
            <w:tcW w:w="789" w:type="dxa"/>
            <w:vMerge w:val="continue"/>
            <w:tcBorders>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p>
        </w:tc>
        <w:tc>
          <w:tcPr>
            <w:tcW w:w="788" w:type="dxa"/>
            <w:vMerge w:val="continue"/>
            <w:tcBorders>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p>
        </w:tc>
        <w:tc>
          <w:tcPr>
            <w:tcW w:w="788" w:type="dxa"/>
            <w:vMerge w:val="continue"/>
            <w:tcBorders>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p>
        </w:tc>
        <w:tc>
          <w:tcPr>
            <w:tcW w:w="788" w:type="dxa"/>
            <w:vMerge w:val="continue"/>
            <w:tcBorders>
              <w:left w:val="single" w:color="auto" w:sz="6" w:space="0"/>
              <w:bottom w:val="single" w:color="auto" w:sz="6" w:space="0"/>
              <w:right w:val="single" w:color="auto" w:sz="12"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528" w:hRule="atLeast"/>
          <w:jc w:val="center"/>
        </w:trPr>
        <w:tc>
          <w:tcPr>
            <w:tcW w:w="552" w:type="dxa"/>
            <w:vMerge w:val="continue"/>
            <w:tcBorders>
              <w:left w:val="single" w:color="auto" w:sz="12" w:space="0"/>
              <w:bottom w:val="single" w:color="auto" w:sz="6" w:space="0"/>
              <w:right w:val="single" w:color="auto" w:sz="6" w:space="0"/>
            </w:tcBorders>
            <w:vAlign w:val="top"/>
          </w:tcPr>
          <w:p>
            <w:pPr>
              <w:autoSpaceDE w:val="0"/>
              <w:autoSpaceDN w:val="0"/>
              <w:adjustRightInd w:val="0"/>
              <w:ind w:left="-105" w:leftChars="-50" w:right="-105" w:rightChars="-50"/>
              <w:jc w:val="center"/>
              <w:rPr>
                <w:rFonts w:ascii="宋体" w:cs="宋体"/>
                <w:color w:val="000000"/>
                <w:kern w:val="0"/>
                <w:sz w:val="20"/>
                <w:szCs w:val="20"/>
              </w:rPr>
            </w:pP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2</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3</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4</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5</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6</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7</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8</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9</w:t>
            </w:r>
            <w:r>
              <w:rPr>
                <w:rFonts w:hint="eastAsia" w:ascii="宋体" w:cs="宋体"/>
                <w:color w:val="000000"/>
                <w:kern w:val="0"/>
                <w:sz w:val="20"/>
                <w:szCs w:val="20"/>
              </w:rPr>
              <w:t>(</w:t>
            </w:r>
            <w:r>
              <w:rPr>
                <w:rFonts w:ascii="宋体" w:cs="宋体"/>
                <w:color w:val="000000"/>
                <w:kern w:val="0"/>
                <w:sz w:val="20"/>
                <w:szCs w:val="20"/>
              </w:rPr>
              <w:t>2+</w:t>
            </w:r>
            <w:r>
              <w:rPr>
                <w:rFonts w:hint="eastAsia" w:ascii="宋体" w:cs="宋体"/>
                <w:color w:val="000000"/>
                <w:kern w:val="0"/>
                <w:sz w:val="20"/>
                <w:szCs w:val="20"/>
              </w:rPr>
              <w:t>…</w:t>
            </w:r>
            <w:r>
              <w:rPr>
                <w:rFonts w:ascii="宋体" w:cs="宋体"/>
                <w:color w:val="000000"/>
                <w:kern w:val="0"/>
                <w:sz w:val="20"/>
                <w:szCs w:val="20"/>
              </w:rPr>
              <w:t>+8</w:t>
            </w:r>
            <w:r>
              <w:rPr>
                <w:rFonts w:hint="eastAsia" w:ascii="宋体" w:cs="宋体"/>
                <w:color w:val="000000"/>
                <w:kern w:val="0"/>
                <w:sz w:val="20"/>
                <w:szCs w:val="20"/>
              </w:rPr>
              <w:t>)</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10</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11</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12</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13</w:t>
            </w:r>
            <w:r>
              <w:rPr>
                <w:rFonts w:hint="eastAsia" w:ascii="宋体" w:cs="宋体"/>
                <w:color w:val="000000"/>
                <w:kern w:val="0"/>
                <w:sz w:val="20"/>
                <w:szCs w:val="20"/>
              </w:rPr>
              <w:t>(</w:t>
            </w:r>
            <w:r>
              <w:rPr>
                <w:rFonts w:ascii="宋体" w:cs="宋体"/>
                <w:color w:val="000000"/>
                <w:kern w:val="0"/>
                <w:sz w:val="20"/>
                <w:szCs w:val="20"/>
              </w:rPr>
              <w:t>10+</w:t>
            </w:r>
            <w:r>
              <w:rPr>
                <w:rFonts w:ascii="宋体" w:cs="宋体"/>
                <w:color w:val="000000"/>
                <w:kern w:val="0"/>
                <w:sz w:val="20"/>
                <w:szCs w:val="20"/>
              </w:rPr>
              <w:br w:type="textWrapping"/>
            </w:r>
            <w:r>
              <w:rPr>
                <w:rFonts w:ascii="宋体" w:cs="宋体"/>
                <w:color w:val="000000"/>
                <w:kern w:val="0"/>
                <w:sz w:val="20"/>
                <w:szCs w:val="20"/>
              </w:rPr>
              <w:t>11+12</w:t>
            </w:r>
            <w:r>
              <w:rPr>
                <w:rFonts w:hint="eastAsia" w:ascii="宋体" w:cs="宋体"/>
                <w:color w:val="000000"/>
                <w:kern w:val="0"/>
                <w:sz w:val="20"/>
                <w:szCs w:val="20"/>
              </w:rPr>
              <w:t>)</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14</w:t>
            </w:r>
            <w:r>
              <w:rPr>
                <w:rFonts w:hint="eastAsia" w:ascii="宋体" w:cs="宋体"/>
                <w:color w:val="000000"/>
                <w:kern w:val="0"/>
                <w:sz w:val="20"/>
                <w:szCs w:val="20"/>
              </w:rPr>
              <w:t>(</w:t>
            </w:r>
            <w:r>
              <w:rPr>
                <w:rFonts w:ascii="宋体" w:cs="宋体"/>
                <w:color w:val="000000"/>
                <w:kern w:val="0"/>
                <w:sz w:val="20"/>
                <w:szCs w:val="20"/>
              </w:rPr>
              <w:t>9+10+11</w:t>
            </w:r>
            <w:r>
              <w:rPr>
                <w:rFonts w:hint="eastAsia" w:ascii="宋体" w:cs="宋体"/>
                <w:color w:val="000000"/>
                <w:kern w:val="0"/>
                <w:sz w:val="20"/>
                <w:szCs w:val="20"/>
              </w:rPr>
              <w:t>)</w:t>
            </w: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15</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16</w:t>
            </w: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17</w:t>
            </w:r>
          </w:p>
        </w:tc>
        <w:tc>
          <w:tcPr>
            <w:tcW w:w="78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18</w:t>
            </w:r>
            <w:r>
              <w:rPr>
                <w:rFonts w:hint="eastAsia" w:ascii="宋体" w:cs="宋体"/>
                <w:color w:val="000000"/>
                <w:kern w:val="0"/>
                <w:sz w:val="20"/>
                <w:szCs w:val="20"/>
              </w:rPr>
              <w:t>(</w:t>
            </w:r>
            <w:r>
              <w:rPr>
                <w:rFonts w:ascii="宋体" w:cs="宋体"/>
                <w:color w:val="000000"/>
                <w:kern w:val="0"/>
                <w:sz w:val="20"/>
                <w:szCs w:val="20"/>
              </w:rPr>
              <w:t>14+</w:t>
            </w:r>
            <w:r>
              <w:rPr>
                <w:rFonts w:ascii="宋体" w:cs="宋体"/>
                <w:color w:val="000000"/>
                <w:kern w:val="0"/>
                <w:sz w:val="20"/>
                <w:szCs w:val="20"/>
              </w:rPr>
              <w:br w:type="textWrapping"/>
            </w:r>
            <w:r>
              <w:rPr>
                <w:rFonts w:ascii="宋体" w:cs="宋体"/>
                <w:color w:val="000000"/>
                <w:kern w:val="0"/>
                <w:sz w:val="20"/>
                <w:szCs w:val="20"/>
              </w:rPr>
              <w:t>15-16-17</w:t>
            </w:r>
            <w:r>
              <w:rPr>
                <w:rFonts w:hint="eastAsia" w:ascii="宋体" w:cs="宋体"/>
                <w:color w:val="000000"/>
                <w:kern w:val="0"/>
                <w:sz w:val="20"/>
                <w:szCs w:val="20"/>
              </w:rPr>
              <w:t>)</w:t>
            </w:r>
          </w:p>
        </w:tc>
      </w:tr>
      <w:tr>
        <w:tblPrEx>
          <w:tblLayout w:type="fixed"/>
          <w:tblCellMar>
            <w:top w:w="0" w:type="dxa"/>
            <w:left w:w="108" w:type="dxa"/>
            <w:bottom w:w="0" w:type="dxa"/>
            <w:right w:w="108" w:type="dxa"/>
          </w:tblCellMar>
        </w:tblPrEx>
        <w:trPr>
          <w:trHeight w:val="510" w:hRule="atLeast"/>
          <w:jc w:val="center"/>
        </w:trPr>
        <w:tc>
          <w:tcPr>
            <w:tcW w:w="55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1</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righ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jc w:val="center"/>
        </w:trPr>
        <w:tc>
          <w:tcPr>
            <w:tcW w:w="55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2</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righ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jc w:val="center"/>
        </w:trPr>
        <w:tc>
          <w:tcPr>
            <w:tcW w:w="55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3</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righ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jc w:val="center"/>
        </w:trPr>
        <w:tc>
          <w:tcPr>
            <w:tcW w:w="55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4</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righ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jc w:val="center"/>
        </w:trPr>
        <w:tc>
          <w:tcPr>
            <w:tcW w:w="55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5</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righ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jc w:val="center"/>
        </w:trPr>
        <w:tc>
          <w:tcPr>
            <w:tcW w:w="55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6</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righ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jc w:val="center"/>
        </w:trPr>
        <w:tc>
          <w:tcPr>
            <w:tcW w:w="55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7</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righ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jc w:val="center"/>
        </w:trPr>
        <w:tc>
          <w:tcPr>
            <w:tcW w:w="55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8</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righ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jc w:val="center"/>
        </w:trPr>
        <w:tc>
          <w:tcPr>
            <w:tcW w:w="552"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9</w:t>
            </w:r>
          </w:p>
        </w:tc>
        <w:tc>
          <w:tcPr>
            <w:tcW w:w="8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righ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510" w:hRule="atLeast"/>
          <w:jc w:val="center"/>
        </w:trPr>
        <w:tc>
          <w:tcPr>
            <w:tcW w:w="552"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right"/>
              <w:rPr>
                <w:rFonts w:ascii="宋体" w:cs="宋体"/>
                <w:color w:val="000000"/>
                <w:kern w:val="0"/>
                <w:sz w:val="20"/>
                <w:szCs w:val="20"/>
              </w:rPr>
            </w:pPr>
            <w:r>
              <w:rPr>
                <w:rFonts w:ascii="宋体" w:cs="宋体"/>
                <w:color w:val="000000"/>
                <w:kern w:val="0"/>
                <w:sz w:val="20"/>
                <w:szCs w:val="20"/>
              </w:rPr>
              <w:t>10</w:t>
            </w:r>
          </w:p>
        </w:tc>
        <w:tc>
          <w:tcPr>
            <w:tcW w:w="824"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合计</w:t>
            </w:r>
          </w:p>
        </w:tc>
        <w:tc>
          <w:tcPr>
            <w:tcW w:w="788"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9"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right"/>
              <w:rPr>
                <w:rFonts w:ascii="宋体" w:cs="宋体"/>
                <w:color w:val="000000"/>
                <w:kern w:val="0"/>
                <w:sz w:val="20"/>
                <w:szCs w:val="20"/>
              </w:rPr>
            </w:pPr>
          </w:p>
        </w:tc>
        <w:tc>
          <w:tcPr>
            <w:tcW w:w="788"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jc w:val="right"/>
              <w:rPr>
                <w:rFonts w:ascii="宋体" w:cs="宋体"/>
                <w:color w:val="000000"/>
                <w:kern w:val="0"/>
                <w:sz w:val="20"/>
                <w:szCs w:val="20"/>
              </w:rPr>
            </w:pPr>
          </w:p>
        </w:tc>
      </w:tr>
    </w:tbl>
    <w:p>
      <w:pPr>
        <w:pStyle w:val="9"/>
        <w:ind w:firstLine="0" w:firstLineChars="0"/>
        <w:rPr>
          <w:sz w:val="18"/>
        </w:rPr>
      </w:pPr>
    </w:p>
    <w:p>
      <w:pPr>
        <w:sectPr>
          <w:pgSz w:w="16838" w:h="11906" w:orient="landscape"/>
          <w:pgMar w:top="1418" w:right="1985" w:bottom="1418" w:left="1928" w:header="851" w:footer="992" w:gutter="113"/>
          <w:cols w:space="425" w:num="1"/>
          <w:docGrid w:linePitch="312" w:charSpace="0"/>
        </w:sectPr>
      </w:pPr>
    </w:p>
    <w:p>
      <w:pPr>
        <w:pStyle w:val="8"/>
        <w:spacing w:before="240" w:after="360"/>
        <w:rPr>
          <w:color w:val="000000"/>
        </w:rPr>
      </w:pPr>
      <w:bookmarkStart w:id="140" w:name="_Toc499456618"/>
      <w:r>
        <w:rPr>
          <w:rFonts w:hint="eastAsia"/>
          <w:color w:val="000000"/>
        </w:rPr>
        <w:t>A108010</w:t>
      </w:r>
      <w:r>
        <w:rPr>
          <w:color w:val="000000"/>
        </w:rPr>
        <w:tab/>
      </w:r>
      <w:r>
        <w:rPr>
          <w:rFonts w:hint="eastAsia"/>
          <w:color w:val="000000"/>
        </w:rPr>
        <w:t>《境外所得纳税调整后所得明细表》填报说明</w:t>
      </w:r>
      <w:bookmarkEnd w:id="140"/>
    </w:p>
    <w:p>
      <w:pPr>
        <w:spacing w:line="360" w:lineRule="auto"/>
        <w:ind w:firstLine="480" w:firstLineChars="200"/>
        <w:rPr>
          <w:rFonts w:ascii="宋体" w:hAnsi="宋体" w:cs="Calibri"/>
          <w:color w:val="000000"/>
          <w:sz w:val="24"/>
        </w:rPr>
      </w:pPr>
      <w:r>
        <w:rPr>
          <w:rFonts w:hint="eastAsia" w:ascii="宋体" w:hAnsi="宋体" w:cs="Calibri"/>
          <w:color w:val="000000"/>
          <w:sz w:val="24"/>
        </w:rPr>
        <w:t>本表适用于取得境外所得的纳税人填报。纳税人应根据税法、《财政部 国家税务总局关于企业境外所得税收抵免有关问题的通知》（财税〔2009〕125号）和《国家税务总局关于发布〈企业境外所得税收抵免操作指南〉的公告》（国家税务总局公告2010年第1号）、</w:t>
      </w:r>
      <w:r>
        <w:rPr>
          <w:rFonts w:hint="eastAsia" w:ascii="宋体" w:hAnsi="宋体"/>
          <w:color w:val="000000"/>
          <w:sz w:val="24"/>
        </w:rPr>
        <w:t>《财政部 国家税务总局关于我国石油企业从事油（气）资源开采所得税收抵免有关问题的通知》（财税〔</w:t>
      </w:r>
      <w:r>
        <w:rPr>
          <w:rFonts w:ascii="宋体" w:hAnsi="宋体"/>
          <w:color w:val="000000"/>
          <w:sz w:val="24"/>
        </w:rPr>
        <w:t>201</w:t>
      </w:r>
      <w:r>
        <w:rPr>
          <w:rFonts w:hint="eastAsia" w:ascii="宋体" w:hAnsi="宋体"/>
          <w:color w:val="000000"/>
          <w:sz w:val="24"/>
        </w:rPr>
        <w:t>1〕23号）、</w:t>
      </w:r>
      <w:r>
        <w:rPr>
          <w:rFonts w:hint="eastAsia" w:ascii="宋体" w:hAnsi="宋体" w:cs="Calibri"/>
          <w:color w:val="000000"/>
          <w:sz w:val="24"/>
        </w:rPr>
        <w:t>《财政部 税务总局关于完善企业境外所得税收抵免政策问题的通知》（财税〔</w:t>
      </w:r>
      <w:r>
        <w:rPr>
          <w:rFonts w:ascii="宋体" w:hAnsi="宋体" w:cs="Calibri"/>
          <w:color w:val="000000"/>
          <w:sz w:val="24"/>
        </w:rPr>
        <w:t>2017</w:t>
      </w:r>
      <w:r>
        <w:rPr>
          <w:rFonts w:hint="eastAsia" w:ascii="宋体" w:hAnsi="宋体" w:cs="Calibri"/>
          <w:color w:val="000000"/>
          <w:sz w:val="24"/>
        </w:rPr>
        <w:t>〕</w:t>
      </w:r>
      <w:r>
        <w:rPr>
          <w:rFonts w:ascii="宋体" w:hAnsi="宋体" w:cs="Calibri"/>
          <w:color w:val="000000"/>
          <w:sz w:val="24"/>
        </w:rPr>
        <w:t>84</w:t>
      </w:r>
      <w:r>
        <w:rPr>
          <w:rFonts w:hint="eastAsia" w:ascii="宋体" w:hAnsi="宋体" w:cs="Calibri"/>
          <w:color w:val="000000"/>
          <w:sz w:val="24"/>
        </w:rPr>
        <w:t>号）规定，填报本年来源于或发生于不同国家、地区的所得按照税收规定计算的境外所得纳税调整后所得。对于境外所得税收抵免方式选择“不分国（地区）不分项”的纳税人，也应按照规定计算可抵免境外所得税税额，并按国（地区）别逐行填报。</w:t>
      </w:r>
    </w:p>
    <w:p>
      <w:pPr>
        <w:pStyle w:val="11"/>
        <w:ind w:firstLine="482"/>
      </w:pPr>
      <w:r>
        <w:rPr>
          <w:rFonts w:hint="eastAsia"/>
        </w:rPr>
        <w:t>一、有关项目填报说明</w:t>
      </w:r>
    </w:p>
    <w:p>
      <w:pPr>
        <w:pStyle w:val="9"/>
        <w:rPr>
          <w:color w:val="000000"/>
        </w:rPr>
      </w:pPr>
      <w:r>
        <w:rPr>
          <w:rFonts w:hint="eastAsia"/>
          <w:color w:val="000000"/>
        </w:rPr>
        <w:t>1.第1列“国家（地区）”：填报纳税人境外所得来源的国家（地区）名称，来源于同一个国家（地区）的境外所得可合并到一行填报。</w:t>
      </w:r>
    </w:p>
    <w:p>
      <w:pPr>
        <w:pStyle w:val="9"/>
        <w:rPr>
          <w:color w:val="000000"/>
        </w:rPr>
      </w:pPr>
      <w:r>
        <w:rPr>
          <w:rFonts w:hint="eastAsia"/>
          <w:color w:val="000000"/>
        </w:rPr>
        <w:t>2.第</w:t>
      </w:r>
      <w:r>
        <w:rPr>
          <w:color w:val="000000"/>
        </w:rPr>
        <w:t>2</w:t>
      </w:r>
      <w:r>
        <w:rPr>
          <w:rFonts w:hint="eastAsia"/>
          <w:color w:val="000000"/>
        </w:rPr>
        <w:t>列至第9列“境外税后所得”：填报纳税人取得的来源于境外的税后所得，其中：第</w:t>
      </w:r>
      <w:r>
        <w:rPr>
          <w:color w:val="000000"/>
        </w:rPr>
        <w:t>3</w:t>
      </w:r>
      <w:r>
        <w:rPr>
          <w:rFonts w:hint="eastAsia"/>
          <w:color w:val="000000"/>
        </w:rPr>
        <w:t>列股息、红利等权益性投资所得包含通过《受控外国企业信息报告表》（国家税务总局公告2014年第38号附件2）计算的视同分配给企业的股息。</w:t>
      </w:r>
    </w:p>
    <w:p>
      <w:pPr>
        <w:pStyle w:val="9"/>
        <w:rPr>
          <w:color w:val="000000"/>
        </w:rPr>
      </w:pPr>
      <w:r>
        <w:rPr>
          <w:rFonts w:hint="eastAsia"/>
          <w:color w:val="000000"/>
        </w:rPr>
        <w:t>3.第10列“直接缴纳的所得税额”：填报纳税人来源于境外的营业利润所得在境外所缴纳的企业所得税，以及就来源于或发生于境外的股息、红利等权益性投资所得、利息、租金、特许权使用费、财产转让等所得在境外被源泉扣缴的预提所得税。</w:t>
      </w:r>
    </w:p>
    <w:p>
      <w:pPr>
        <w:pStyle w:val="9"/>
        <w:rPr>
          <w:color w:val="000000"/>
        </w:rPr>
      </w:pPr>
      <w:r>
        <w:rPr>
          <w:rFonts w:hint="eastAsia"/>
          <w:color w:val="000000"/>
        </w:rPr>
        <w:t>4.第11列“间接负担的所得税额”：填报纳税人从其直接或者间接控制的外国企业分得的来源于中国境外的股息、红利等权益性投资收益，外国企业在境外实际缴纳的所得税额中属于该项所得负担的部分。</w:t>
      </w:r>
    </w:p>
    <w:p>
      <w:pPr>
        <w:pStyle w:val="9"/>
        <w:rPr>
          <w:color w:val="000000"/>
        </w:rPr>
      </w:pPr>
      <w:r>
        <w:rPr>
          <w:rFonts w:hint="eastAsia"/>
          <w:color w:val="000000"/>
        </w:rPr>
        <w:t>5.第12列“享受税收饶让抵免税额”：填报纳税人从与我国政府订立税收协定（或安排）的国家（地区）取得的所得，按照该国（地区）税收法律享受了免税或减税待遇，且该免税或减税的数额按照税收协定应视同已缴税额的金额。</w:t>
      </w:r>
    </w:p>
    <w:p>
      <w:pPr>
        <w:pStyle w:val="9"/>
        <w:rPr>
          <w:color w:val="000000"/>
        </w:rPr>
      </w:pPr>
      <w:r>
        <w:rPr>
          <w:rFonts w:hint="eastAsia"/>
          <w:color w:val="000000"/>
        </w:rPr>
        <w:t>6.第15列“境外分支机构收入与支出纳税调整额”：填报纳税人境外分支机构收入、支出按照税收规定计算的纳税调整额。</w:t>
      </w:r>
    </w:p>
    <w:p>
      <w:pPr>
        <w:pStyle w:val="9"/>
        <w:rPr>
          <w:color w:val="000000"/>
        </w:rPr>
      </w:pPr>
      <w:r>
        <w:rPr>
          <w:rFonts w:hint="eastAsia"/>
          <w:color w:val="000000"/>
        </w:rPr>
        <w:t>7.第16列“境外分支机构调整分摊扣除的有关成本费用”：填报纳税人境外分支机构应合理分摊的总部管理费等有关成本费用，同时在《纳税调整项目明细表》（A105000）进行纳税调增。</w:t>
      </w:r>
    </w:p>
    <w:p>
      <w:pPr>
        <w:pStyle w:val="9"/>
        <w:rPr>
          <w:color w:val="000000"/>
        </w:rPr>
      </w:pPr>
      <w:r>
        <w:rPr>
          <w:rFonts w:hint="eastAsia"/>
          <w:color w:val="000000"/>
        </w:rPr>
        <w:t>8.第17列“境外所得对应调整的相关成本费用支出”：填报纳税人实际发生与取得境外所得有关但未直接计入境外所得应纳税所得的成本费用支出，同时在《纳税调整项目明细表》（A105000）进行纳税调增。</w:t>
      </w:r>
    </w:p>
    <w:p>
      <w:pPr>
        <w:pStyle w:val="9"/>
        <w:rPr>
          <w:color w:val="000000"/>
        </w:rPr>
      </w:pPr>
      <w:r>
        <w:rPr>
          <w:rFonts w:hint="eastAsia"/>
          <w:color w:val="000000"/>
        </w:rPr>
        <w:t>9.第18列“境外所得纳税调整后所得”：填报第14+15-16-17列的金额。</w:t>
      </w:r>
    </w:p>
    <w:p>
      <w:pPr>
        <w:pStyle w:val="11"/>
        <w:ind w:firstLine="482"/>
      </w:pPr>
      <w:r>
        <w:rPr>
          <w:rFonts w:hint="eastAsia"/>
        </w:rPr>
        <w:t>二、表内、表间关系</w:t>
      </w:r>
    </w:p>
    <w:p>
      <w:pPr>
        <w:pStyle w:val="12"/>
      </w:pPr>
      <w:r>
        <w:rPr>
          <w:rFonts w:hint="eastAsia"/>
        </w:rPr>
        <w:t>（一）表内关系</w:t>
      </w:r>
    </w:p>
    <w:p>
      <w:pPr>
        <w:pStyle w:val="9"/>
        <w:rPr>
          <w:color w:val="000000"/>
        </w:rPr>
      </w:pPr>
      <w:r>
        <w:rPr>
          <w:rFonts w:hint="eastAsia"/>
          <w:color w:val="000000"/>
        </w:rPr>
        <w:t>1.第9列＝第</w:t>
      </w:r>
      <w:r>
        <w:rPr>
          <w:color w:val="000000"/>
        </w:rPr>
        <w:t>2</w:t>
      </w:r>
      <w:r>
        <w:rPr>
          <w:rFonts w:hint="eastAsia"/>
          <w:color w:val="000000"/>
        </w:rPr>
        <w:t>+</w:t>
      </w:r>
      <w:r>
        <w:rPr>
          <w:color w:val="000000"/>
        </w:rPr>
        <w:t>3+…</w:t>
      </w:r>
      <w:r>
        <w:rPr>
          <w:rFonts w:hint="eastAsia"/>
          <w:color w:val="000000"/>
        </w:rPr>
        <w:t>+</w:t>
      </w:r>
      <w:r>
        <w:rPr>
          <w:color w:val="000000"/>
        </w:rPr>
        <w:t>8</w:t>
      </w:r>
      <w:r>
        <w:rPr>
          <w:rFonts w:hint="eastAsia"/>
          <w:color w:val="000000"/>
        </w:rPr>
        <w:t>列。</w:t>
      </w:r>
    </w:p>
    <w:p>
      <w:pPr>
        <w:pStyle w:val="9"/>
        <w:rPr>
          <w:color w:val="000000"/>
        </w:rPr>
      </w:pPr>
      <w:r>
        <w:rPr>
          <w:rFonts w:hint="eastAsia"/>
          <w:color w:val="000000"/>
        </w:rPr>
        <w:t>2.第</w:t>
      </w:r>
      <w:r>
        <w:rPr>
          <w:color w:val="000000"/>
        </w:rPr>
        <w:t>1</w:t>
      </w:r>
      <w:r>
        <w:rPr>
          <w:rFonts w:hint="eastAsia"/>
          <w:color w:val="000000"/>
        </w:rPr>
        <w:t>3列</w:t>
      </w:r>
      <w:r>
        <w:rPr>
          <w:color w:val="000000"/>
        </w:rPr>
        <w:t>＝</w:t>
      </w:r>
      <w:r>
        <w:rPr>
          <w:rFonts w:hint="eastAsia"/>
          <w:color w:val="000000"/>
        </w:rPr>
        <w:t>第10+11+12列。</w:t>
      </w:r>
    </w:p>
    <w:p>
      <w:pPr>
        <w:pStyle w:val="9"/>
        <w:rPr>
          <w:color w:val="000000"/>
        </w:rPr>
      </w:pPr>
      <w:r>
        <w:rPr>
          <w:rFonts w:hint="eastAsia"/>
          <w:color w:val="000000"/>
        </w:rPr>
        <w:t>3.第</w:t>
      </w:r>
      <w:r>
        <w:rPr>
          <w:color w:val="000000"/>
        </w:rPr>
        <w:t>1</w:t>
      </w:r>
      <w:r>
        <w:rPr>
          <w:rFonts w:hint="eastAsia"/>
          <w:color w:val="000000"/>
        </w:rPr>
        <w:t>4列</w:t>
      </w:r>
      <w:r>
        <w:rPr>
          <w:color w:val="000000"/>
        </w:rPr>
        <w:t>＝</w:t>
      </w:r>
      <w:r>
        <w:rPr>
          <w:rFonts w:hint="eastAsia"/>
          <w:color w:val="000000"/>
        </w:rPr>
        <w:t>第9+10+11列。</w:t>
      </w:r>
    </w:p>
    <w:p>
      <w:pPr>
        <w:pStyle w:val="9"/>
        <w:rPr>
          <w:color w:val="000000"/>
        </w:rPr>
      </w:pPr>
      <w:r>
        <w:rPr>
          <w:rFonts w:hint="eastAsia"/>
          <w:color w:val="000000"/>
        </w:rPr>
        <w:t>4.第</w:t>
      </w:r>
      <w:r>
        <w:rPr>
          <w:color w:val="000000"/>
        </w:rPr>
        <w:t>1</w:t>
      </w:r>
      <w:r>
        <w:rPr>
          <w:rFonts w:hint="eastAsia"/>
          <w:color w:val="000000"/>
        </w:rPr>
        <w:t>8列</w:t>
      </w:r>
      <w:r>
        <w:rPr>
          <w:color w:val="000000"/>
        </w:rPr>
        <w:t>＝</w:t>
      </w:r>
      <w:r>
        <w:rPr>
          <w:rFonts w:hint="eastAsia"/>
          <w:color w:val="000000"/>
        </w:rPr>
        <w:t>第14+</w:t>
      </w:r>
      <w:r>
        <w:rPr>
          <w:color w:val="000000"/>
        </w:rPr>
        <w:t>1</w:t>
      </w:r>
      <w:r>
        <w:rPr>
          <w:rFonts w:hint="eastAsia"/>
          <w:color w:val="000000"/>
        </w:rPr>
        <w:t>5-16-</w:t>
      </w:r>
      <w:r>
        <w:rPr>
          <w:color w:val="000000"/>
        </w:rPr>
        <w:t>1</w:t>
      </w:r>
      <w:r>
        <w:rPr>
          <w:rFonts w:hint="eastAsia"/>
          <w:color w:val="000000"/>
        </w:rPr>
        <w:t>7列。</w:t>
      </w:r>
    </w:p>
    <w:p>
      <w:pPr>
        <w:pStyle w:val="12"/>
      </w:pPr>
      <w:r>
        <w:rPr>
          <w:rFonts w:hint="eastAsia"/>
        </w:rPr>
        <w:t>（二）表间关系</w:t>
      </w:r>
    </w:p>
    <w:p>
      <w:pPr>
        <w:pStyle w:val="9"/>
        <w:rPr>
          <w:color w:val="000000"/>
        </w:rPr>
      </w:pPr>
      <w:r>
        <w:rPr>
          <w:rFonts w:hint="eastAsia"/>
          <w:color w:val="000000"/>
        </w:rPr>
        <w:t>1.若选择“分国（地区）不分项”的境外所得抵免方式，第13列各行＝表A108000第10列相应行次；若选择“不分国（地区）不分项” 的境外所得抵免方式，第13列合计＝表A108000第1行第10列。</w:t>
      </w:r>
    </w:p>
    <w:p>
      <w:pPr>
        <w:pStyle w:val="9"/>
        <w:rPr>
          <w:color w:val="000000"/>
        </w:rPr>
      </w:pPr>
      <w:r>
        <w:rPr>
          <w:rFonts w:hint="eastAsia"/>
          <w:color w:val="000000"/>
        </w:rPr>
        <w:t>2.若选择“分国（地区）不分项”的境外所得抵免方式，第14列各行＝表A108000第2列相应行次；若选择“不分国（地区）不分项” 的境外所得抵免方式，第14列合计＝表A108000第1行第2列。</w:t>
      </w:r>
    </w:p>
    <w:p>
      <w:pPr>
        <w:pStyle w:val="9"/>
        <w:rPr>
          <w:color w:val="000000"/>
        </w:rPr>
      </w:pPr>
      <w:r>
        <w:rPr>
          <w:rFonts w:hint="eastAsia"/>
          <w:color w:val="000000"/>
        </w:rPr>
        <w:t>3.第14列合计-第11列合计＝表A100000第14行。</w:t>
      </w:r>
    </w:p>
    <w:p>
      <w:pPr>
        <w:pStyle w:val="9"/>
        <w:rPr>
          <w:color w:val="000000"/>
        </w:rPr>
      </w:pPr>
      <w:r>
        <w:rPr>
          <w:rFonts w:hint="eastAsia"/>
          <w:color w:val="000000"/>
        </w:rPr>
        <w:t>4.第16列合计+第17列合计＝表A105000第28行第3列。</w:t>
      </w:r>
    </w:p>
    <w:p>
      <w:pPr>
        <w:pStyle w:val="9"/>
        <w:rPr>
          <w:color w:val="000000"/>
        </w:rPr>
      </w:pPr>
      <w:r>
        <w:rPr>
          <w:rFonts w:hint="eastAsia"/>
          <w:color w:val="000000"/>
        </w:rPr>
        <w:t>5.若选择“分国（地区）不分项”的境外所得抵免方式，第18列相应行次＝表A108000第3列相应行次；若选择“不分国（地区）不分项” 的境外所得抵免方式，第</w:t>
      </w:r>
      <w:r>
        <w:rPr>
          <w:color w:val="000000"/>
        </w:rPr>
        <w:t>18</w:t>
      </w:r>
      <w:r>
        <w:rPr>
          <w:rFonts w:hint="eastAsia"/>
          <w:color w:val="000000"/>
        </w:rPr>
        <w:t>列合计＝表A108000第1行第</w:t>
      </w:r>
      <w:r>
        <w:rPr>
          <w:color w:val="000000"/>
        </w:rPr>
        <w:t>3</w:t>
      </w:r>
      <w:r>
        <w:rPr>
          <w:rFonts w:hint="eastAsia"/>
          <w:color w:val="000000"/>
        </w:rPr>
        <w:t>列。</w:t>
      </w:r>
    </w:p>
    <w:p>
      <w:pPr>
        <w:pStyle w:val="9"/>
        <w:rPr>
          <w:color w:val="000000"/>
        </w:rPr>
        <w:sectPr>
          <w:pgSz w:w="11906" w:h="16838"/>
          <w:pgMar w:top="1985" w:right="1418" w:bottom="1928" w:left="1418" w:header="851" w:footer="992" w:gutter="113"/>
          <w:cols w:space="425" w:num="1"/>
          <w:titlePg/>
          <w:docGrid w:linePitch="312" w:charSpace="0"/>
        </w:sectPr>
      </w:pPr>
    </w:p>
    <w:p>
      <w:pPr>
        <w:pStyle w:val="13"/>
      </w:pPr>
      <w:bookmarkStart w:id="141" w:name="_Toc499456619"/>
      <w:r>
        <w:rPr>
          <w:rFonts w:hint="eastAsia"/>
        </w:rPr>
        <w:t>A108020</w:t>
      </w:r>
      <w:r>
        <w:tab/>
      </w:r>
      <w:r>
        <w:rPr>
          <w:rFonts w:hint="eastAsia"/>
        </w:rPr>
        <w:t>境外分支机构弥补亏损明细表</w:t>
      </w:r>
      <w:bookmarkEnd w:id="141"/>
    </w:p>
    <w:tbl>
      <w:tblPr>
        <w:tblStyle w:val="7"/>
        <w:tblW w:w="15017" w:type="dxa"/>
        <w:jc w:val="center"/>
        <w:tblInd w:w="0" w:type="dxa"/>
        <w:tblLayout w:type="fixed"/>
        <w:tblCellMar>
          <w:top w:w="0" w:type="dxa"/>
          <w:left w:w="108" w:type="dxa"/>
          <w:bottom w:w="0" w:type="dxa"/>
          <w:right w:w="108" w:type="dxa"/>
        </w:tblCellMar>
      </w:tblPr>
      <w:tblGrid>
        <w:gridCol w:w="552"/>
        <w:gridCol w:w="720"/>
        <w:gridCol w:w="1075"/>
        <w:gridCol w:w="852"/>
        <w:gridCol w:w="841"/>
        <w:gridCol w:w="913"/>
        <w:gridCol w:w="637"/>
        <w:gridCol w:w="720"/>
        <w:gridCol w:w="720"/>
        <w:gridCol w:w="720"/>
        <w:gridCol w:w="720"/>
        <w:gridCol w:w="650"/>
        <w:gridCol w:w="720"/>
        <w:gridCol w:w="888"/>
        <w:gridCol w:w="720"/>
        <w:gridCol w:w="720"/>
        <w:gridCol w:w="720"/>
        <w:gridCol w:w="720"/>
        <w:gridCol w:w="720"/>
        <w:gridCol w:w="682"/>
        <w:gridCol w:w="7"/>
      </w:tblGrid>
      <w:tr>
        <w:tblPrEx>
          <w:tblLayout w:type="fixed"/>
          <w:tblCellMar>
            <w:top w:w="0" w:type="dxa"/>
            <w:left w:w="108" w:type="dxa"/>
            <w:bottom w:w="0" w:type="dxa"/>
            <w:right w:w="108" w:type="dxa"/>
          </w:tblCellMar>
        </w:tblPrEx>
        <w:trPr>
          <w:trHeight w:val="293" w:hRule="atLeast"/>
          <w:jc w:val="center"/>
        </w:trPr>
        <w:tc>
          <w:tcPr>
            <w:tcW w:w="552" w:type="dxa"/>
            <w:vMerge w:val="restart"/>
            <w:tcBorders>
              <w:top w:val="single" w:color="auto" w:sz="12" w:space="0"/>
              <w:left w:val="single" w:color="auto" w:sz="12" w:space="0"/>
              <w:right w:val="single" w:color="auto" w:sz="6" w:space="0"/>
            </w:tcBorders>
            <w:vAlign w:val="center"/>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行次</w:t>
            </w:r>
          </w:p>
        </w:tc>
        <w:tc>
          <w:tcPr>
            <w:tcW w:w="720" w:type="dxa"/>
            <w:vMerge w:val="restart"/>
            <w:tcBorders>
              <w:top w:val="single" w:color="auto" w:sz="12" w:space="0"/>
              <w:left w:val="single" w:color="auto" w:sz="6" w:space="0"/>
              <w:right w:val="single" w:color="auto" w:sz="6" w:space="0"/>
            </w:tcBorders>
            <w:vAlign w:val="center"/>
          </w:tcPr>
          <w:p>
            <w:pPr>
              <w:autoSpaceDE w:val="0"/>
              <w:autoSpaceDN w:val="0"/>
              <w:adjustRightInd w:val="0"/>
              <w:ind w:left="-105" w:leftChars="-50" w:right="-105" w:rightChars="-50"/>
              <w:jc w:val="center"/>
              <w:rPr>
                <w:rFonts w:hint="eastAsia" w:ascii="宋体" w:cs="宋体"/>
                <w:color w:val="000000"/>
                <w:kern w:val="0"/>
                <w:sz w:val="20"/>
                <w:szCs w:val="20"/>
              </w:rPr>
            </w:pPr>
            <w:r>
              <w:rPr>
                <w:rFonts w:hint="eastAsia" w:ascii="宋体" w:cs="宋体"/>
                <w:color w:val="000000"/>
                <w:kern w:val="0"/>
                <w:sz w:val="20"/>
                <w:szCs w:val="20"/>
              </w:rPr>
              <w:t>国家</w:t>
            </w:r>
          </w:p>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(地区)</w:t>
            </w:r>
          </w:p>
        </w:tc>
        <w:tc>
          <w:tcPr>
            <w:tcW w:w="3681" w:type="dxa"/>
            <w:gridSpan w:val="4"/>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非实际亏损额的弥补</w:t>
            </w:r>
          </w:p>
        </w:tc>
        <w:tc>
          <w:tcPr>
            <w:tcW w:w="10064" w:type="dxa"/>
            <w:gridSpan w:val="15"/>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实际亏损额的弥补</w:t>
            </w:r>
          </w:p>
        </w:tc>
      </w:tr>
      <w:tr>
        <w:tblPrEx>
          <w:tblLayout w:type="fixed"/>
          <w:tblCellMar>
            <w:top w:w="0" w:type="dxa"/>
            <w:left w:w="108" w:type="dxa"/>
            <w:bottom w:w="0" w:type="dxa"/>
            <w:right w:w="108" w:type="dxa"/>
          </w:tblCellMar>
        </w:tblPrEx>
        <w:trPr>
          <w:gridAfter w:val="1"/>
          <w:wAfter w:w="7" w:type="dxa"/>
          <w:trHeight w:val="419" w:hRule="atLeast"/>
          <w:jc w:val="center"/>
        </w:trPr>
        <w:tc>
          <w:tcPr>
            <w:tcW w:w="552" w:type="dxa"/>
            <w:vMerge w:val="continue"/>
            <w:tcBorders>
              <w:left w:val="single" w:color="auto" w:sz="12"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720" w:type="dxa"/>
            <w:vMerge w:val="continue"/>
            <w:tcBorders>
              <w:left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p>
        </w:tc>
        <w:tc>
          <w:tcPr>
            <w:tcW w:w="1075" w:type="dxa"/>
            <w:vMerge w:val="restart"/>
            <w:tcBorders>
              <w:top w:val="single" w:color="auto" w:sz="6" w:space="0"/>
              <w:left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以前年度结转尚未弥补的非实际亏损额</w:t>
            </w:r>
          </w:p>
        </w:tc>
        <w:tc>
          <w:tcPr>
            <w:tcW w:w="852" w:type="dxa"/>
            <w:vMerge w:val="restart"/>
            <w:tcBorders>
              <w:top w:val="single" w:color="auto" w:sz="6" w:space="0"/>
              <w:left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本年发生的非实际亏损额</w:t>
            </w:r>
          </w:p>
        </w:tc>
        <w:tc>
          <w:tcPr>
            <w:tcW w:w="841" w:type="dxa"/>
            <w:vMerge w:val="restart"/>
            <w:tcBorders>
              <w:top w:val="single" w:color="auto" w:sz="6" w:space="0"/>
              <w:left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本年弥补的以前年度非实际亏损额</w:t>
            </w:r>
          </w:p>
        </w:tc>
        <w:tc>
          <w:tcPr>
            <w:tcW w:w="913" w:type="dxa"/>
            <w:vMerge w:val="restart"/>
            <w:tcBorders>
              <w:top w:val="single" w:color="auto" w:sz="6" w:space="0"/>
              <w:left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结转以后年度弥补的非实际亏损额</w:t>
            </w:r>
          </w:p>
        </w:tc>
        <w:tc>
          <w:tcPr>
            <w:tcW w:w="416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以前年度结转尚未弥补的实际亏损额</w:t>
            </w:r>
          </w:p>
        </w:tc>
        <w:tc>
          <w:tcPr>
            <w:tcW w:w="720" w:type="dxa"/>
            <w:vMerge w:val="restart"/>
            <w:tcBorders>
              <w:top w:val="single" w:color="auto" w:sz="6" w:space="0"/>
              <w:left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本年发生的实际亏损额</w:t>
            </w:r>
          </w:p>
        </w:tc>
        <w:tc>
          <w:tcPr>
            <w:tcW w:w="888" w:type="dxa"/>
            <w:vMerge w:val="restart"/>
            <w:tcBorders>
              <w:top w:val="single" w:color="auto" w:sz="6" w:space="0"/>
              <w:left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本年弥补的以前年度实际亏损额</w:t>
            </w:r>
          </w:p>
        </w:tc>
        <w:tc>
          <w:tcPr>
            <w:tcW w:w="4282" w:type="dxa"/>
            <w:gridSpan w:val="6"/>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结转以后年度弥补的实际亏损额</w:t>
            </w:r>
          </w:p>
        </w:tc>
      </w:tr>
      <w:tr>
        <w:tblPrEx>
          <w:tblLayout w:type="fixed"/>
          <w:tblCellMar>
            <w:top w:w="0" w:type="dxa"/>
            <w:left w:w="108" w:type="dxa"/>
            <w:bottom w:w="0" w:type="dxa"/>
            <w:right w:w="108" w:type="dxa"/>
          </w:tblCellMar>
        </w:tblPrEx>
        <w:trPr>
          <w:gridAfter w:val="1"/>
          <w:wAfter w:w="7" w:type="dxa"/>
          <w:trHeight w:val="293" w:hRule="atLeast"/>
          <w:jc w:val="center"/>
        </w:trPr>
        <w:tc>
          <w:tcPr>
            <w:tcW w:w="552" w:type="dxa"/>
            <w:vMerge w:val="continue"/>
            <w:tcBorders>
              <w:left w:val="single" w:color="auto" w:sz="12"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720" w:type="dxa"/>
            <w:vMerge w:val="continue"/>
            <w:tcBorders>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p>
        </w:tc>
        <w:tc>
          <w:tcPr>
            <w:tcW w:w="1075" w:type="dxa"/>
            <w:vMerge w:val="continue"/>
            <w:tcBorders>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p>
        </w:tc>
        <w:tc>
          <w:tcPr>
            <w:tcW w:w="852" w:type="dxa"/>
            <w:vMerge w:val="continue"/>
            <w:tcBorders>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p>
        </w:tc>
        <w:tc>
          <w:tcPr>
            <w:tcW w:w="841" w:type="dxa"/>
            <w:vMerge w:val="continue"/>
            <w:tcBorders>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p>
        </w:tc>
        <w:tc>
          <w:tcPr>
            <w:tcW w:w="913" w:type="dxa"/>
            <w:vMerge w:val="continue"/>
            <w:tcBorders>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p>
        </w:tc>
        <w:tc>
          <w:tcPr>
            <w:tcW w:w="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前五年</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前四年</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前三年</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前二年</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前一年</w:t>
            </w: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小计</w:t>
            </w:r>
          </w:p>
        </w:tc>
        <w:tc>
          <w:tcPr>
            <w:tcW w:w="720" w:type="dxa"/>
            <w:vMerge w:val="continue"/>
            <w:tcBorders>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p>
        </w:tc>
        <w:tc>
          <w:tcPr>
            <w:tcW w:w="888" w:type="dxa"/>
            <w:vMerge w:val="continue"/>
            <w:tcBorders>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前四年</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前三年</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前二年</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前一年</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本年</w:t>
            </w:r>
          </w:p>
        </w:tc>
        <w:tc>
          <w:tcPr>
            <w:tcW w:w="68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hint="eastAsia" w:ascii="宋体" w:cs="宋体"/>
                <w:color w:val="000000"/>
                <w:kern w:val="0"/>
                <w:sz w:val="20"/>
                <w:szCs w:val="20"/>
              </w:rPr>
              <w:t>小计</w:t>
            </w:r>
          </w:p>
        </w:tc>
      </w:tr>
      <w:tr>
        <w:tblPrEx>
          <w:tblLayout w:type="fixed"/>
          <w:tblCellMar>
            <w:top w:w="0" w:type="dxa"/>
            <w:left w:w="108" w:type="dxa"/>
            <w:bottom w:w="0" w:type="dxa"/>
            <w:right w:w="108" w:type="dxa"/>
          </w:tblCellMar>
        </w:tblPrEx>
        <w:trPr>
          <w:gridAfter w:val="1"/>
          <w:wAfter w:w="7" w:type="dxa"/>
          <w:trHeight w:val="677" w:hRule="atLeast"/>
          <w:jc w:val="center"/>
        </w:trPr>
        <w:tc>
          <w:tcPr>
            <w:tcW w:w="552" w:type="dxa"/>
            <w:vMerge w:val="continue"/>
            <w:tcBorders>
              <w:left w:val="single" w:color="auto" w:sz="12"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w:t>
            </w:r>
          </w:p>
        </w:tc>
        <w:tc>
          <w:tcPr>
            <w:tcW w:w="10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2</w:t>
            </w:r>
          </w:p>
        </w:tc>
        <w:tc>
          <w:tcPr>
            <w:tcW w:w="8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3</w:t>
            </w:r>
          </w:p>
        </w:tc>
        <w:tc>
          <w:tcPr>
            <w:tcW w:w="84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4</w:t>
            </w:r>
          </w:p>
        </w:tc>
        <w:tc>
          <w:tcPr>
            <w:tcW w:w="9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5</w:t>
            </w:r>
            <w:r>
              <w:rPr>
                <w:rFonts w:hint="eastAsia" w:ascii="宋体" w:cs="宋体"/>
                <w:color w:val="000000"/>
                <w:kern w:val="0"/>
                <w:sz w:val="20"/>
                <w:szCs w:val="20"/>
              </w:rPr>
              <w:t>(</w:t>
            </w:r>
            <w:r>
              <w:rPr>
                <w:rFonts w:ascii="宋体" w:cs="宋体"/>
                <w:color w:val="000000"/>
                <w:kern w:val="0"/>
                <w:sz w:val="20"/>
                <w:szCs w:val="20"/>
              </w:rPr>
              <w:t>2+3-4</w:t>
            </w:r>
            <w:r>
              <w:rPr>
                <w:rFonts w:hint="eastAsia" w:ascii="宋体" w:cs="宋体"/>
                <w:color w:val="000000"/>
                <w:kern w:val="0"/>
                <w:sz w:val="20"/>
                <w:szCs w:val="20"/>
              </w:rPr>
              <w:t>)</w:t>
            </w:r>
          </w:p>
        </w:tc>
        <w:tc>
          <w:tcPr>
            <w:tcW w:w="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6</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7</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8</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9</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10</w:t>
            </w:r>
          </w:p>
        </w:tc>
        <w:tc>
          <w:tcPr>
            <w:tcW w:w="6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11</w:t>
            </w:r>
            <w:r>
              <w:rPr>
                <w:rFonts w:hint="eastAsia" w:ascii="宋体" w:cs="宋体"/>
                <w:color w:val="000000"/>
                <w:kern w:val="0"/>
                <w:sz w:val="20"/>
                <w:szCs w:val="20"/>
              </w:rPr>
              <w:t>(</w:t>
            </w:r>
            <w:r>
              <w:rPr>
                <w:rFonts w:ascii="宋体" w:cs="宋体"/>
                <w:color w:val="000000"/>
                <w:kern w:val="0"/>
                <w:sz w:val="20"/>
                <w:szCs w:val="20"/>
              </w:rPr>
              <w:t>6+</w:t>
            </w:r>
            <w:r>
              <w:rPr>
                <w:rFonts w:hint="eastAsia" w:ascii="宋体" w:cs="宋体"/>
                <w:color w:val="000000"/>
                <w:kern w:val="0"/>
                <w:sz w:val="20"/>
                <w:szCs w:val="20"/>
              </w:rPr>
              <w:t>…</w:t>
            </w:r>
            <w:r>
              <w:rPr>
                <w:rFonts w:ascii="宋体" w:cs="宋体"/>
                <w:color w:val="000000"/>
                <w:kern w:val="0"/>
                <w:sz w:val="20"/>
                <w:szCs w:val="20"/>
              </w:rPr>
              <w:t>+10</w:t>
            </w:r>
            <w:r>
              <w:rPr>
                <w:rFonts w:hint="eastAsia" w:ascii="宋体" w:cs="宋体"/>
                <w:color w:val="000000"/>
                <w:kern w:val="0"/>
                <w:sz w:val="20"/>
                <w:szCs w:val="20"/>
              </w:rPr>
              <w:t>)</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12</w:t>
            </w:r>
          </w:p>
        </w:tc>
        <w:tc>
          <w:tcPr>
            <w:tcW w:w="8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13</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14</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15</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16</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17</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18</w:t>
            </w:r>
          </w:p>
        </w:tc>
        <w:tc>
          <w:tcPr>
            <w:tcW w:w="682"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left="-105" w:leftChars="-50" w:right="-105" w:rightChars="-50"/>
              <w:jc w:val="center"/>
              <w:rPr>
                <w:rFonts w:ascii="宋体" w:cs="宋体"/>
                <w:color w:val="000000"/>
                <w:kern w:val="0"/>
                <w:sz w:val="20"/>
                <w:szCs w:val="20"/>
              </w:rPr>
            </w:pPr>
            <w:r>
              <w:rPr>
                <w:rFonts w:ascii="宋体" w:cs="宋体"/>
                <w:color w:val="000000"/>
                <w:kern w:val="0"/>
                <w:sz w:val="20"/>
                <w:szCs w:val="20"/>
              </w:rPr>
              <w:t>19</w:t>
            </w:r>
            <w:r>
              <w:rPr>
                <w:rFonts w:hint="eastAsia" w:ascii="宋体" w:cs="宋体"/>
                <w:color w:val="000000"/>
                <w:kern w:val="0"/>
                <w:sz w:val="20"/>
                <w:szCs w:val="20"/>
              </w:rPr>
              <w:t>(</w:t>
            </w:r>
            <w:r>
              <w:rPr>
                <w:rFonts w:ascii="宋体" w:cs="宋体"/>
                <w:color w:val="000000"/>
                <w:kern w:val="0"/>
                <w:sz w:val="20"/>
                <w:szCs w:val="20"/>
              </w:rPr>
              <w:t>14+</w:t>
            </w:r>
            <w:r>
              <w:rPr>
                <w:rFonts w:hint="eastAsia" w:ascii="宋体" w:cs="宋体"/>
                <w:color w:val="000000"/>
                <w:kern w:val="0"/>
                <w:sz w:val="20"/>
                <w:szCs w:val="20"/>
              </w:rPr>
              <w:t>…</w:t>
            </w:r>
            <w:r>
              <w:rPr>
                <w:rFonts w:ascii="宋体" w:cs="宋体"/>
                <w:color w:val="000000"/>
                <w:kern w:val="0"/>
                <w:sz w:val="20"/>
                <w:szCs w:val="20"/>
              </w:rPr>
              <w:t>+18</w:t>
            </w:r>
            <w:r>
              <w:rPr>
                <w:rFonts w:hint="eastAsia" w:ascii="宋体" w:cs="宋体"/>
                <w:color w:val="000000"/>
                <w:kern w:val="0"/>
                <w:sz w:val="20"/>
                <w:szCs w:val="20"/>
              </w:rPr>
              <w:t>)</w:t>
            </w:r>
          </w:p>
        </w:tc>
      </w:tr>
      <w:tr>
        <w:tblPrEx>
          <w:tblLayout w:type="fixed"/>
          <w:tblCellMar>
            <w:top w:w="0" w:type="dxa"/>
            <w:left w:w="108" w:type="dxa"/>
            <w:bottom w:w="0" w:type="dxa"/>
            <w:right w:w="108" w:type="dxa"/>
          </w:tblCellMar>
        </w:tblPrEx>
        <w:trPr>
          <w:gridAfter w:val="1"/>
          <w:wAfter w:w="7" w:type="dxa"/>
          <w:trHeight w:val="293" w:hRule="atLeast"/>
          <w:jc w:val="center"/>
        </w:trPr>
        <w:tc>
          <w:tcPr>
            <w:tcW w:w="552" w:type="dxa"/>
            <w:tcBorders>
              <w:top w:val="single" w:color="auto" w:sz="6" w:space="0"/>
              <w:left w:val="single" w:color="auto" w:sz="12" w:space="0"/>
              <w:bottom w:val="single" w:color="auto" w:sz="6" w:space="0"/>
              <w:right w:val="single" w:color="auto" w:sz="6" w:space="0"/>
            </w:tcBorders>
            <w:vAlign w:val="top"/>
          </w:tcPr>
          <w:p>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1</w:t>
            </w: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10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5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91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3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8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82" w:type="dxa"/>
            <w:tcBorders>
              <w:top w:val="single" w:color="auto" w:sz="6" w:space="0"/>
              <w:left w:val="single" w:color="auto" w:sz="6" w:space="0"/>
              <w:bottom w:val="single" w:color="auto" w:sz="6" w:space="0"/>
              <w:right w:val="single" w:color="auto" w:sz="12" w:space="0"/>
            </w:tcBorders>
            <w:vAlign w:val="top"/>
          </w:tcPr>
          <w:p>
            <w:pPr>
              <w:autoSpaceDE w:val="0"/>
              <w:autoSpaceDN w:val="0"/>
              <w:adjustRightInd w:val="0"/>
              <w:jc w:val="right"/>
              <w:rPr>
                <w:rFonts w:ascii="宋体" w:cs="宋体"/>
                <w:color w:val="000000"/>
                <w:kern w:val="0"/>
                <w:sz w:val="20"/>
                <w:szCs w:val="20"/>
              </w:rPr>
            </w:pPr>
          </w:p>
        </w:tc>
      </w:tr>
      <w:tr>
        <w:tblPrEx>
          <w:tblLayout w:type="fixed"/>
          <w:tblCellMar>
            <w:top w:w="0" w:type="dxa"/>
            <w:left w:w="108" w:type="dxa"/>
            <w:bottom w:w="0" w:type="dxa"/>
            <w:right w:w="108" w:type="dxa"/>
          </w:tblCellMar>
        </w:tblPrEx>
        <w:trPr>
          <w:gridAfter w:val="1"/>
          <w:wAfter w:w="7" w:type="dxa"/>
          <w:trHeight w:val="293" w:hRule="atLeast"/>
          <w:jc w:val="center"/>
        </w:trPr>
        <w:tc>
          <w:tcPr>
            <w:tcW w:w="552" w:type="dxa"/>
            <w:tcBorders>
              <w:top w:val="single" w:color="auto" w:sz="6" w:space="0"/>
              <w:left w:val="single" w:color="auto" w:sz="12" w:space="0"/>
              <w:bottom w:val="single" w:color="auto" w:sz="6" w:space="0"/>
              <w:right w:val="single" w:color="auto" w:sz="6" w:space="0"/>
            </w:tcBorders>
            <w:vAlign w:val="top"/>
          </w:tcPr>
          <w:p>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2</w:t>
            </w: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10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5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91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3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8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82" w:type="dxa"/>
            <w:tcBorders>
              <w:top w:val="single" w:color="auto" w:sz="6" w:space="0"/>
              <w:left w:val="single" w:color="auto" w:sz="6" w:space="0"/>
              <w:bottom w:val="single" w:color="auto" w:sz="6" w:space="0"/>
              <w:right w:val="single" w:color="auto" w:sz="12" w:space="0"/>
            </w:tcBorders>
            <w:vAlign w:val="top"/>
          </w:tcPr>
          <w:p>
            <w:pPr>
              <w:autoSpaceDE w:val="0"/>
              <w:autoSpaceDN w:val="0"/>
              <w:adjustRightInd w:val="0"/>
              <w:jc w:val="right"/>
              <w:rPr>
                <w:rFonts w:ascii="宋体" w:cs="宋体"/>
                <w:color w:val="000000"/>
                <w:kern w:val="0"/>
                <w:sz w:val="20"/>
                <w:szCs w:val="20"/>
              </w:rPr>
            </w:pPr>
          </w:p>
        </w:tc>
      </w:tr>
      <w:tr>
        <w:tblPrEx>
          <w:tblLayout w:type="fixed"/>
          <w:tblCellMar>
            <w:top w:w="0" w:type="dxa"/>
            <w:left w:w="108" w:type="dxa"/>
            <w:bottom w:w="0" w:type="dxa"/>
            <w:right w:w="108" w:type="dxa"/>
          </w:tblCellMar>
        </w:tblPrEx>
        <w:trPr>
          <w:gridAfter w:val="1"/>
          <w:wAfter w:w="7" w:type="dxa"/>
          <w:trHeight w:val="293" w:hRule="atLeast"/>
          <w:jc w:val="center"/>
        </w:trPr>
        <w:tc>
          <w:tcPr>
            <w:tcW w:w="552" w:type="dxa"/>
            <w:tcBorders>
              <w:top w:val="single" w:color="auto" w:sz="6" w:space="0"/>
              <w:left w:val="single" w:color="auto" w:sz="12" w:space="0"/>
              <w:bottom w:val="single" w:color="auto" w:sz="6" w:space="0"/>
              <w:right w:val="single" w:color="auto" w:sz="6" w:space="0"/>
            </w:tcBorders>
            <w:vAlign w:val="top"/>
          </w:tcPr>
          <w:p>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3</w:t>
            </w: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10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5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91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3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8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82" w:type="dxa"/>
            <w:tcBorders>
              <w:top w:val="single" w:color="auto" w:sz="6" w:space="0"/>
              <w:left w:val="single" w:color="auto" w:sz="6" w:space="0"/>
              <w:bottom w:val="single" w:color="auto" w:sz="6" w:space="0"/>
              <w:right w:val="single" w:color="auto" w:sz="12" w:space="0"/>
            </w:tcBorders>
            <w:vAlign w:val="top"/>
          </w:tcPr>
          <w:p>
            <w:pPr>
              <w:autoSpaceDE w:val="0"/>
              <w:autoSpaceDN w:val="0"/>
              <w:adjustRightInd w:val="0"/>
              <w:jc w:val="right"/>
              <w:rPr>
                <w:rFonts w:ascii="宋体" w:cs="宋体"/>
                <w:color w:val="000000"/>
                <w:kern w:val="0"/>
                <w:sz w:val="20"/>
                <w:szCs w:val="20"/>
              </w:rPr>
            </w:pPr>
          </w:p>
        </w:tc>
      </w:tr>
      <w:tr>
        <w:tblPrEx>
          <w:tblLayout w:type="fixed"/>
          <w:tblCellMar>
            <w:top w:w="0" w:type="dxa"/>
            <w:left w:w="108" w:type="dxa"/>
            <w:bottom w:w="0" w:type="dxa"/>
            <w:right w:w="108" w:type="dxa"/>
          </w:tblCellMar>
        </w:tblPrEx>
        <w:trPr>
          <w:gridAfter w:val="1"/>
          <w:wAfter w:w="7" w:type="dxa"/>
          <w:trHeight w:val="293" w:hRule="atLeast"/>
          <w:jc w:val="center"/>
        </w:trPr>
        <w:tc>
          <w:tcPr>
            <w:tcW w:w="552" w:type="dxa"/>
            <w:tcBorders>
              <w:top w:val="single" w:color="auto" w:sz="6" w:space="0"/>
              <w:left w:val="single" w:color="auto" w:sz="12" w:space="0"/>
              <w:bottom w:val="single" w:color="auto" w:sz="6" w:space="0"/>
              <w:right w:val="single" w:color="auto" w:sz="6" w:space="0"/>
            </w:tcBorders>
            <w:vAlign w:val="top"/>
          </w:tcPr>
          <w:p>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4</w:t>
            </w: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10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5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91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3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8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82" w:type="dxa"/>
            <w:tcBorders>
              <w:top w:val="single" w:color="auto" w:sz="6" w:space="0"/>
              <w:left w:val="single" w:color="auto" w:sz="6" w:space="0"/>
              <w:bottom w:val="single" w:color="auto" w:sz="6" w:space="0"/>
              <w:right w:val="single" w:color="auto" w:sz="12" w:space="0"/>
            </w:tcBorders>
            <w:vAlign w:val="top"/>
          </w:tcPr>
          <w:p>
            <w:pPr>
              <w:autoSpaceDE w:val="0"/>
              <w:autoSpaceDN w:val="0"/>
              <w:adjustRightInd w:val="0"/>
              <w:jc w:val="right"/>
              <w:rPr>
                <w:rFonts w:ascii="宋体" w:cs="宋体"/>
                <w:color w:val="000000"/>
                <w:kern w:val="0"/>
                <w:sz w:val="20"/>
                <w:szCs w:val="20"/>
              </w:rPr>
            </w:pPr>
          </w:p>
        </w:tc>
      </w:tr>
      <w:tr>
        <w:tblPrEx>
          <w:tblLayout w:type="fixed"/>
          <w:tblCellMar>
            <w:top w:w="0" w:type="dxa"/>
            <w:left w:w="108" w:type="dxa"/>
            <w:bottom w:w="0" w:type="dxa"/>
            <w:right w:w="108" w:type="dxa"/>
          </w:tblCellMar>
        </w:tblPrEx>
        <w:trPr>
          <w:gridAfter w:val="1"/>
          <w:wAfter w:w="7" w:type="dxa"/>
          <w:trHeight w:val="293" w:hRule="atLeast"/>
          <w:jc w:val="center"/>
        </w:trPr>
        <w:tc>
          <w:tcPr>
            <w:tcW w:w="552" w:type="dxa"/>
            <w:tcBorders>
              <w:top w:val="single" w:color="auto" w:sz="6" w:space="0"/>
              <w:left w:val="single" w:color="auto" w:sz="12" w:space="0"/>
              <w:bottom w:val="single" w:color="auto" w:sz="6" w:space="0"/>
              <w:right w:val="single" w:color="auto" w:sz="6" w:space="0"/>
            </w:tcBorders>
            <w:vAlign w:val="top"/>
          </w:tcPr>
          <w:p>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5</w:t>
            </w: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10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5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91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3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8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82" w:type="dxa"/>
            <w:tcBorders>
              <w:top w:val="single" w:color="auto" w:sz="6" w:space="0"/>
              <w:left w:val="single" w:color="auto" w:sz="6" w:space="0"/>
              <w:bottom w:val="single" w:color="auto" w:sz="6" w:space="0"/>
              <w:right w:val="single" w:color="auto" w:sz="12" w:space="0"/>
            </w:tcBorders>
            <w:vAlign w:val="top"/>
          </w:tcPr>
          <w:p>
            <w:pPr>
              <w:autoSpaceDE w:val="0"/>
              <w:autoSpaceDN w:val="0"/>
              <w:adjustRightInd w:val="0"/>
              <w:jc w:val="right"/>
              <w:rPr>
                <w:rFonts w:ascii="宋体" w:cs="宋体"/>
                <w:color w:val="000000"/>
                <w:kern w:val="0"/>
                <w:sz w:val="20"/>
                <w:szCs w:val="20"/>
              </w:rPr>
            </w:pPr>
          </w:p>
        </w:tc>
      </w:tr>
      <w:tr>
        <w:tblPrEx>
          <w:tblLayout w:type="fixed"/>
          <w:tblCellMar>
            <w:top w:w="0" w:type="dxa"/>
            <w:left w:w="108" w:type="dxa"/>
            <w:bottom w:w="0" w:type="dxa"/>
            <w:right w:w="108" w:type="dxa"/>
          </w:tblCellMar>
        </w:tblPrEx>
        <w:trPr>
          <w:gridAfter w:val="1"/>
          <w:wAfter w:w="7" w:type="dxa"/>
          <w:trHeight w:val="293" w:hRule="atLeast"/>
          <w:jc w:val="center"/>
        </w:trPr>
        <w:tc>
          <w:tcPr>
            <w:tcW w:w="552" w:type="dxa"/>
            <w:tcBorders>
              <w:top w:val="single" w:color="auto" w:sz="6" w:space="0"/>
              <w:left w:val="single" w:color="auto" w:sz="12" w:space="0"/>
              <w:bottom w:val="single" w:color="auto" w:sz="6" w:space="0"/>
              <w:right w:val="single" w:color="auto" w:sz="6" w:space="0"/>
            </w:tcBorders>
            <w:vAlign w:val="top"/>
          </w:tcPr>
          <w:p>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6</w:t>
            </w: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10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5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91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3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8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82" w:type="dxa"/>
            <w:tcBorders>
              <w:top w:val="single" w:color="auto" w:sz="6" w:space="0"/>
              <w:left w:val="single" w:color="auto" w:sz="6" w:space="0"/>
              <w:bottom w:val="single" w:color="auto" w:sz="6" w:space="0"/>
              <w:right w:val="single" w:color="auto" w:sz="12" w:space="0"/>
            </w:tcBorders>
            <w:vAlign w:val="top"/>
          </w:tcPr>
          <w:p>
            <w:pPr>
              <w:autoSpaceDE w:val="0"/>
              <w:autoSpaceDN w:val="0"/>
              <w:adjustRightInd w:val="0"/>
              <w:jc w:val="right"/>
              <w:rPr>
                <w:rFonts w:ascii="宋体" w:cs="宋体"/>
                <w:color w:val="000000"/>
                <w:kern w:val="0"/>
                <w:sz w:val="20"/>
                <w:szCs w:val="20"/>
              </w:rPr>
            </w:pPr>
          </w:p>
        </w:tc>
      </w:tr>
      <w:tr>
        <w:tblPrEx>
          <w:tblLayout w:type="fixed"/>
          <w:tblCellMar>
            <w:top w:w="0" w:type="dxa"/>
            <w:left w:w="108" w:type="dxa"/>
            <w:bottom w:w="0" w:type="dxa"/>
            <w:right w:w="108" w:type="dxa"/>
          </w:tblCellMar>
        </w:tblPrEx>
        <w:trPr>
          <w:gridAfter w:val="1"/>
          <w:wAfter w:w="7" w:type="dxa"/>
          <w:trHeight w:val="293" w:hRule="atLeast"/>
          <w:jc w:val="center"/>
        </w:trPr>
        <w:tc>
          <w:tcPr>
            <w:tcW w:w="552" w:type="dxa"/>
            <w:tcBorders>
              <w:top w:val="single" w:color="auto" w:sz="6" w:space="0"/>
              <w:left w:val="single" w:color="auto" w:sz="12" w:space="0"/>
              <w:bottom w:val="single" w:color="auto" w:sz="6" w:space="0"/>
              <w:right w:val="single" w:color="auto" w:sz="6" w:space="0"/>
            </w:tcBorders>
            <w:vAlign w:val="top"/>
          </w:tcPr>
          <w:p>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7</w:t>
            </w: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10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5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91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3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8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82" w:type="dxa"/>
            <w:tcBorders>
              <w:top w:val="single" w:color="auto" w:sz="6" w:space="0"/>
              <w:left w:val="single" w:color="auto" w:sz="6" w:space="0"/>
              <w:bottom w:val="single" w:color="auto" w:sz="6" w:space="0"/>
              <w:right w:val="single" w:color="auto" w:sz="12" w:space="0"/>
            </w:tcBorders>
            <w:vAlign w:val="top"/>
          </w:tcPr>
          <w:p>
            <w:pPr>
              <w:autoSpaceDE w:val="0"/>
              <w:autoSpaceDN w:val="0"/>
              <w:adjustRightInd w:val="0"/>
              <w:jc w:val="right"/>
              <w:rPr>
                <w:rFonts w:ascii="宋体" w:cs="宋体"/>
                <w:color w:val="000000"/>
                <w:kern w:val="0"/>
                <w:sz w:val="20"/>
                <w:szCs w:val="20"/>
              </w:rPr>
            </w:pPr>
          </w:p>
        </w:tc>
      </w:tr>
      <w:tr>
        <w:tblPrEx>
          <w:tblLayout w:type="fixed"/>
          <w:tblCellMar>
            <w:top w:w="0" w:type="dxa"/>
            <w:left w:w="108" w:type="dxa"/>
            <w:bottom w:w="0" w:type="dxa"/>
            <w:right w:w="108" w:type="dxa"/>
          </w:tblCellMar>
        </w:tblPrEx>
        <w:trPr>
          <w:gridAfter w:val="1"/>
          <w:wAfter w:w="7" w:type="dxa"/>
          <w:trHeight w:val="293" w:hRule="atLeast"/>
          <w:jc w:val="center"/>
        </w:trPr>
        <w:tc>
          <w:tcPr>
            <w:tcW w:w="552" w:type="dxa"/>
            <w:tcBorders>
              <w:top w:val="single" w:color="auto" w:sz="6" w:space="0"/>
              <w:left w:val="single" w:color="auto" w:sz="12" w:space="0"/>
              <w:bottom w:val="single" w:color="auto" w:sz="6" w:space="0"/>
              <w:right w:val="single" w:color="auto" w:sz="6" w:space="0"/>
            </w:tcBorders>
            <w:vAlign w:val="top"/>
          </w:tcPr>
          <w:p>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8</w:t>
            </w: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10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5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91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3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8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82" w:type="dxa"/>
            <w:tcBorders>
              <w:top w:val="single" w:color="auto" w:sz="6" w:space="0"/>
              <w:left w:val="single" w:color="auto" w:sz="6" w:space="0"/>
              <w:bottom w:val="single" w:color="auto" w:sz="6" w:space="0"/>
              <w:right w:val="single" w:color="auto" w:sz="12" w:space="0"/>
            </w:tcBorders>
            <w:vAlign w:val="top"/>
          </w:tcPr>
          <w:p>
            <w:pPr>
              <w:autoSpaceDE w:val="0"/>
              <w:autoSpaceDN w:val="0"/>
              <w:adjustRightInd w:val="0"/>
              <w:jc w:val="right"/>
              <w:rPr>
                <w:rFonts w:ascii="宋体" w:cs="宋体"/>
                <w:color w:val="000000"/>
                <w:kern w:val="0"/>
                <w:sz w:val="20"/>
                <w:szCs w:val="20"/>
              </w:rPr>
            </w:pPr>
          </w:p>
        </w:tc>
      </w:tr>
      <w:tr>
        <w:tblPrEx>
          <w:tblLayout w:type="fixed"/>
          <w:tblCellMar>
            <w:top w:w="0" w:type="dxa"/>
            <w:left w:w="108" w:type="dxa"/>
            <w:bottom w:w="0" w:type="dxa"/>
            <w:right w:w="108" w:type="dxa"/>
          </w:tblCellMar>
        </w:tblPrEx>
        <w:trPr>
          <w:gridAfter w:val="1"/>
          <w:wAfter w:w="7" w:type="dxa"/>
          <w:trHeight w:val="293" w:hRule="atLeast"/>
          <w:jc w:val="center"/>
        </w:trPr>
        <w:tc>
          <w:tcPr>
            <w:tcW w:w="552" w:type="dxa"/>
            <w:tcBorders>
              <w:top w:val="single" w:color="auto" w:sz="6" w:space="0"/>
              <w:left w:val="single" w:color="auto" w:sz="12" w:space="0"/>
              <w:bottom w:val="single" w:color="auto" w:sz="6" w:space="0"/>
              <w:right w:val="single" w:color="auto" w:sz="6" w:space="0"/>
            </w:tcBorders>
            <w:vAlign w:val="top"/>
          </w:tcPr>
          <w:p>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9</w:t>
            </w: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1075"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5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4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91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3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88"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82" w:type="dxa"/>
            <w:tcBorders>
              <w:top w:val="single" w:color="auto" w:sz="6" w:space="0"/>
              <w:left w:val="single" w:color="auto" w:sz="6" w:space="0"/>
              <w:bottom w:val="single" w:color="auto" w:sz="6" w:space="0"/>
              <w:right w:val="single" w:color="auto" w:sz="12" w:space="0"/>
            </w:tcBorders>
            <w:vAlign w:val="top"/>
          </w:tcPr>
          <w:p>
            <w:pPr>
              <w:autoSpaceDE w:val="0"/>
              <w:autoSpaceDN w:val="0"/>
              <w:adjustRightInd w:val="0"/>
              <w:jc w:val="right"/>
              <w:rPr>
                <w:rFonts w:ascii="宋体" w:cs="宋体"/>
                <w:color w:val="000000"/>
                <w:kern w:val="0"/>
                <w:sz w:val="20"/>
                <w:szCs w:val="20"/>
              </w:rPr>
            </w:pPr>
          </w:p>
        </w:tc>
      </w:tr>
      <w:tr>
        <w:tblPrEx>
          <w:tblLayout w:type="fixed"/>
          <w:tblCellMar>
            <w:top w:w="0" w:type="dxa"/>
            <w:left w:w="108" w:type="dxa"/>
            <w:bottom w:w="0" w:type="dxa"/>
            <w:right w:w="108" w:type="dxa"/>
          </w:tblCellMar>
        </w:tblPrEx>
        <w:trPr>
          <w:gridAfter w:val="1"/>
          <w:wAfter w:w="7" w:type="dxa"/>
          <w:trHeight w:val="293" w:hRule="atLeast"/>
          <w:jc w:val="center"/>
        </w:trPr>
        <w:tc>
          <w:tcPr>
            <w:tcW w:w="552" w:type="dxa"/>
            <w:tcBorders>
              <w:top w:val="single" w:color="auto" w:sz="6" w:space="0"/>
              <w:left w:val="single" w:color="auto" w:sz="12" w:space="0"/>
              <w:bottom w:val="single" w:color="auto" w:sz="12" w:space="0"/>
              <w:right w:val="single" w:color="auto" w:sz="6" w:space="0"/>
            </w:tcBorders>
            <w:vAlign w:val="top"/>
          </w:tcPr>
          <w:p>
            <w:pPr>
              <w:autoSpaceDE w:val="0"/>
              <w:autoSpaceDN w:val="0"/>
              <w:adjustRightInd w:val="0"/>
              <w:jc w:val="center"/>
              <w:rPr>
                <w:rFonts w:ascii="宋体" w:cs="宋体"/>
                <w:color w:val="000000"/>
                <w:kern w:val="0"/>
                <w:sz w:val="20"/>
                <w:szCs w:val="20"/>
              </w:rPr>
            </w:pPr>
            <w:r>
              <w:rPr>
                <w:rFonts w:ascii="宋体" w:cs="宋体"/>
                <w:color w:val="000000"/>
                <w:kern w:val="0"/>
                <w:sz w:val="20"/>
                <w:szCs w:val="20"/>
              </w:rPr>
              <w:t>10</w:t>
            </w:r>
          </w:p>
        </w:tc>
        <w:tc>
          <w:tcPr>
            <w:tcW w:w="720" w:type="dxa"/>
            <w:tcBorders>
              <w:top w:val="single" w:color="auto" w:sz="6" w:space="0"/>
              <w:left w:val="single" w:color="auto" w:sz="6" w:space="0"/>
              <w:bottom w:val="single" w:color="auto" w:sz="12" w:space="0"/>
              <w:right w:val="single" w:color="auto" w:sz="6" w:space="0"/>
            </w:tcBorders>
            <w:vAlign w:val="top"/>
          </w:tcPr>
          <w:p>
            <w:pPr>
              <w:autoSpaceDE w:val="0"/>
              <w:autoSpaceDN w:val="0"/>
              <w:adjustRightInd w:val="0"/>
              <w:jc w:val="center"/>
              <w:rPr>
                <w:rFonts w:ascii="宋体" w:cs="宋体"/>
                <w:color w:val="000000"/>
                <w:kern w:val="0"/>
                <w:sz w:val="20"/>
                <w:szCs w:val="20"/>
              </w:rPr>
            </w:pPr>
            <w:r>
              <w:rPr>
                <w:rFonts w:hint="eastAsia" w:ascii="宋体" w:cs="宋体"/>
                <w:color w:val="000000"/>
                <w:kern w:val="0"/>
                <w:sz w:val="20"/>
                <w:szCs w:val="20"/>
              </w:rPr>
              <w:t>合计</w:t>
            </w:r>
          </w:p>
        </w:tc>
        <w:tc>
          <w:tcPr>
            <w:tcW w:w="1075" w:type="dxa"/>
            <w:tcBorders>
              <w:top w:val="single" w:color="auto" w:sz="6" w:space="0"/>
              <w:left w:val="single" w:color="auto" w:sz="6" w:space="0"/>
              <w:bottom w:val="single" w:color="auto" w:sz="12"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52" w:type="dxa"/>
            <w:tcBorders>
              <w:top w:val="single" w:color="auto" w:sz="6" w:space="0"/>
              <w:left w:val="single" w:color="auto" w:sz="6" w:space="0"/>
              <w:bottom w:val="single" w:color="auto" w:sz="12"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41" w:type="dxa"/>
            <w:tcBorders>
              <w:top w:val="single" w:color="auto" w:sz="6" w:space="0"/>
              <w:left w:val="single" w:color="auto" w:sz="6" w:space="0"/>
              <w:bottom w:val="single" w:color="auto" w:sz="12"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913" w:type="dxa"/>
            <w:tcBorders>
              <w:top w:val="single" w:color="auto" w:sz="6" w:space="0"/>
              <w:left w:val="single" w:color="auto" w:sz="6" w:space="0"/>
              <w:bottom w:val="single" w:color="auto" w:sz="12"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37" w:type="dxa"/>
            <w:tcBorders>
              <w:top w:val="single" w:color="auto" w:sz="6" w:space="0"/>
              <w:left w:val="single" w:color="auto" w:sz="6" w:space="0"/>
              <w:bottom w:val="single" w:color="auto" w:sz="12"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12"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12"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12"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12"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50" w:type="dxa"/>
            <w:tcBorders>
              <w:top w:val="single" w:color="auto" w:sz="6" w:space="0"/>
              <w:left w:val="single" w:color="auto" w:sz="6" w:space="0"/>
              <w:bottom w:val="single" w:color="auto" w:sz="12"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12"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888" w:type="dxa"/>
            <w:tcBorders>
              <w:top w:val="single" w:color="auto" w:sz="6" w:space="0"/>
              <w:left w:val="single" w:color="auto" w:sz="6" w:space="0"/>
              <w:bottom w:val="single" w:color="auto" w:sz="12"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12"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12"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12"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12"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720" w:type="dxa"/>
            <w:tcBorders>
              <w:top w:val="single" w:color="auto" w:sz="6" w:space="0"/>
              <w:left w:val="single" w:color="auto" w:sz="6" w:space="0"/>
              <w:bottom w:val="single" w:color="auto" w:sz="12" w:space="0"/>
              <w:right w:val="single" w:color="auto" w:sz="6" w:space="0"/>
            </w:tcBorders>
            <w:vAlign w:val="top"/>
          </w:tcPr>
          <w:p>
            <w:pPr>
              <w:autoSpaceDE w:val="0"/>
              <w:autoSpaceDN w:val="0"/>
              <w:adjustRightInd w:val="0"/>
              <w:jc w:val="right"/>
              <w:rPr>
                <w:rFonts w:ascii="宋体" w:cs="宋体"/>
                <w:color w:val="000000"/>
                <w:kern w:val="0"/>
                <w:sz w:val="20"/>
                <w:szCs w:val="20"/>
              </w:rPr>
            </w:pPr>
          </w:p>
        </w:tc>
        <w:tc>
          <w:tcPr>
            <w:tcW w:w="682" w:type="dxa"/>
            <w:tcBorders>
              <w:top w:val="single" w:color="auto" w:sz="6" w:space="0"/>
              <w:left w:val="single" w:color="auto" w:sz="6" w:space="0"/>
              <w:bottom w:val="single" w:color="auto" w:sz="12" w:space="0"/>
              <w:right w:val="single" w:color="auto" w:sz="12" w:space="0"/>
            </w:tcBorders>
            <w:vAlign w:val="top"/>
          </w:tcPr>
          <w:p>
            <w:pPr>
              <w:autoSpaceDE w:val="0"/>
              <w:autoSpaceDN w:val="0"/>
              <w:adjustRightInd w:val="0"/>
              <w:jc w:val="right"/>
              <w:rPr>
                <w:rFonts w:ascii="宋体" w:cs="宋体"/>
                <w:color w:val="000000"/>
                <w:kern w:val="0"/>
                <w:sz w:val="20"/>
                <w:szCs w:val="20"/>
              </w:rPr>
            </w:pPr>
          </w:p>
        </w:tc>
      </w:tr>
    </w:tbl>
    <w:p>
      <w:pPr>
        <w:pStyle w:val="9"/>
        <w:sectPr>
          <w:pgSz w:w="16838" w:h="11906" w:orient="landscape"/>
          <w:pgMar w:top="1418" w:right="1985" w:bottom="1418" w:left="1928" w:header="851" w:footer="992" w:gutter="113"/>
          <w:cols w:space="425" w:num="1"/>
          <w:titlePg/>
          <w:docGrid w:linePitch="312" w:charSpace="0"/>
        </w:sectPr>
      </w:pPr>
    </w:p>
    <w:p>
      <w:pPr>
        <w:pStyle w:val="8"/>
        <w:spacing w:before="240" w:after="360"/>
        <w:rPr>
          <w:color w:val="000000"/>
        </w:rPr>
      </w:pPr>
      <w:bookmarkStart w:id="142" w:name="_Toc499456620"/>
      <w:r>
        <w:rPr>
          <w:rFonts w:hint="eastAsia"/>
          <w:color w:val="000000"/>
        </w:rPr>
        <w:t>A108020</w:t>
      </w:r>
      <w:r>
        <w:rPr>
          <w:color w:val="000000"/>
        </w:rPr>
        <w:tab/>
      </w:r>
      <w:r>
        <w:rPr>
          <w:rFonts w:hint="eastAsia"/>
          <w:color w:val="000000"/>
        </w:rPr>
        <w:t>《境外分支机构弥补亏损明细表》填报说明</w:t>
      </w:r>
      <w:bookmarkEnd w:id="142"/>
    </w:p>
    <w:p>
      <w:pPr>
        <w:pStyle w:val="9"/>
        <w:rPr>
          <w:color w:val="000000"/>
        </w:rPr>
      </w:pPr>
      <w:r>
        <w:rPr>
          <w:rFonts w:hint="eastAsia"/>
          <w:color w:val="000000"/>
        </w:rPr>
        <w:t>本表适用于取得境外所得的纳税人填报。纳税人应根据税法、《财政部 国家税务总局关于企业境外所得税收抵免有关问题的通知》（财税〔2009〕125号）、《国家税务总局关于发布〈企业境外所得税收抵免操作指南〉的公告》（国家税务总局公告2010年第1号）</w:t>
      </w:r>
      <w:r>
        <w:rPr>
          <w:rFonts w:hint="eastAsia" w:cs="Calibri"/>
          <w:color w:val="000000"/>
        </w:rPr>
        <w:t>、</w:t>
      </w:r>
      <w:r>
        <w:rPr>
          <w:rFonts w:hint="eastAsia"/>
          <w:color w:val="000000"/>
        </w:rPr>
        <w:t>《财政部 国家税务总局关于我国石油企业从事油（气）资源开采所得税收抵免有关问题的通知》（财税〔</w:t>
      </w:r>
      <w:r>
        <w:rPr>
          <w:color w:val="000000"/>
        </w:rPr>
        <w:t>201</w:t>
      </w:r>
      <w:r>
        <w:rPr>
          <w:rFonts w:hint="eastAsia"/>
          <w:color w:val="000000"/>
        </w:rPr>
        <w:t>1〕23号）、</w:t>
      </w:r>
      <w:r>
        <w:rPr>
          <w:rFonts w:hint="eastAsia" w:cs="Calibri"/>
          <w:color w:val="000000"/>
        </w:rPr>
        <w:t>《财政部 税务总局关于完善企业境外所得税收抵免政策问题的通知》（财税〔</w:t>
      </w:r>
      <w:r>
        <w:rPr>
          <w:rFonts w:cs="Calibri"/>
          <w:color w:val="000000"/>
        </w:rPr>
        <w:t>2017</w:t>
      </w:r>
      <w:r>
        <w:rPr>
          <w:rFonts w:hint="eastAsia" w:cs="Calibri"/>
          <w:color w:val="000000"/>
        </w:rPr>
        <w:t>〕</w:t>
      </w:r>
      <w:r>
        <w:rPr>
          <w:rFonts w:cs="Calibri"/>
          <w:color w:val="000000"/>
        </w:rPr>
        <w:t>84</w:t>
      </w:r>
      <w:r>
        <w:rPr>
          <w:rFonts w:hint="eastAsia" w:cs="Calibri"/>
          <w:color w:val="000000"/>
        </w:rPr>
        <w:t>号）规定，填报境外分支机构本年及以前年度发生的税前尚未弥补的非实际亏损额和实际亏损额、结转以后年度弥补的非实际亏损额和实际亏损额，并按国（地区）别逐行填报。</w:t>
      </w:r>
    </w:p>
    <w:p>
      <w:pPr>
        <w:pStyle w:val="11"/>
        <w:ind w:firstLine="482"/>
      </w:pPr>
      <w:r>
        <w:rPr>
          <w:rFonts w:hint="eastAsia"/>
        </w:rPr>
        <w:t>一、有关项目填报说明</w:t>
      </w:r>
    </w:p>
    <w:p>
      <w:pPr>
        <w:pStyle w:val="9"/>
        <w:rPr>
          <w:color w:val="000000"/>
        </w:rPr>
      </w:pPr>
      <w:r>
        <w:rPr>
          <w:rFonts w:hint="eastAsia"/>
          <w:color w:val="000000"/>
        </w:rPr>
        <w:t>纳税人选择“分国（地区）不分项”的境外所得抵免方式，在汇总计算境外应纳税所得额时，企业在境外同一国家（地区）设立不具有独立纳税地位的分支机构，按照企业所得税法及实施条例的有关规定计算的亏损，不得抵减其境内或他国（地区）的应纳税所得额，但可以用同一国家（地区）其他项目或以后年度的所得按规定弥补。纳税人选择“不分国（地区）不分项” 的境外所得抵免方式，按照</w:t>
      </w:r>
      <w:r>
        <w:rPr>
          <w:rFonts w:hint="eastAsia" w:cs="Calibri"/>
          <w:color w:val="000000"/>
        </w:rPr>
        <w:t>《财政部 税务总局关于完善企业境外所得税收抵免政策问题的通知》（财税〔</w:t>
      </w:r>
      <w:r>
        <w:rPr>
          <w:rFonts w:cs="Calibri"/>
          <w:color w:val="000000"/>
        </w:rPr>
        <w:t>2017</w:t>
      </w:r>
      <w:r>
        <w:rPr>
          <w:rFonts w:hint="eastAsia" w:cs="Calibri"/>
          <w:color w:val="000000"/>
        </w:rPr>
        <w:t>〕</w:t>
      </w:r>
      <w:r>
        <w:rPr>
          <w:rFonts w:cs="Calibri"/>
          <w:color w:val="000000"/>
        </w:rPr>
        <w:t>84</w:t>
      </w:r>
      <w:r>
        <w:rPr>
          <w:rFonts w:hint="eastAsia" w:cs="Calibri"/>
          <w:color w:val="000000"/>
        </w:rPr>
        <w:t>号）规定填报。</w:t>
      </w:r>
      <w:r>
        <w:rPr>
          <w:rFonts w:hint="eastAsia"/>
          <w:color w:val="000000"/>
        </w:rPr>
        <w:t>在填报本表时，应按照国家税务总局公告2010年第1号第13、14条有关规定，分析填报企业的境外分支机构发生的实际亏损额和非实际亏损额及其弥补、结转的金额。</w:t>
      </w:r>
    </w:p>
    <w:p>
      <w:pPr>
        <w:pStyle w:val="9"/>
        <w:rPr>
          <w:color w:val="000000"/>
        </w:rPr>
      </w:pPr>
      <w:r>
        <w:rPr>
          <w:rFonts w:hint="eastAsia"/>
          <w:color w:val="000000"/>
        </w:rPr>
        <w:t>1.第2列至第5列“非实际亏损额的弥补”：填报纳税人境外分支机构非实际亏损额未弥补金额、本年发生的金额、本年弥补的金额、结转以后年度弥补的金额。</w:t>
      </w:r>
    </w:p>
    <w:p>
      <w:pPr>
        <w:pStyle w:val="9"/>
        <w:rPr>
          <w:color w:val="000000"/>
        </w:rPr>
      </w:pPr>
      <w:r>
        <w:rPr>
          <w:rFonts w:hint="eastAsia"/>
          <w:color w:val="000000"/>
        </w:rPr>
        <w:t>2.第6列至第19列“实际亏损额的弥补”：填报纳税人境外分支机构实际亏损额弥补金额。</w:t>
      </w:r>
    </w:p>
    <w:p>
      <w:pPr>
        <w:pStyle w:val="11"/>
        <w:ind w:firstLine="482"/>
      </w:pPr>
      <w:r>
        <w:rPr>
          <w:rFonts w:hint="eastAsia"/>
        </w:rPr>
        <w:t>二、表内、表间关系</w:t>
      </w:r>
    </w:p>
    <w:p>
      <w:pPr>
        <w:pStyle w:val="12"/>
      </w:pPr>
      <w:r>
        <w:rPr>
          <w:rFonts w:hint="eastAsia"/>
        </w:rPr>
        <w:t>（一）表内关系</w:t>
      </w:r>
    </w:p>
    <w:p>
      <w:pPr>
        <w:pStyle w:val="9"/>
        <w:rPr>
          <w:color w:val="000000"/>
        </w:rPr>
      </w:pPr>
      <w:r>
        <w:rPr>
          <w:rFonts w:hint="eastAsia"/>
          <w:color w:val="000000"/>
        </w:rPr>
        <w:t>1.第5列＝第2+3-4列。</w:t>
      </w:r>
    </w:p>
    <w:p>
      <w:pPr>
        <w:pStyle w:val="9"/>
        <w:rPr>
          <w:color w:val="000000"/>
        </w:rPr>
      </w:pPr>
      <w:r>
        <w:rPr>
          <w:rFonts w:hint="eastAsia"/>
          <w:color w:val="000000"/>
        </w:rPr>
        <w:t>2.第11列＝第6+7+</w:t>
      </w:r>
      <w:r>
        <w:rPr>
          <w:color w:val="000000"/>
        </w:rPr>
        <w:t>…</w:t>
      </w:r>
      <w:r>
        <w:rPr>
          <w:rFonts w:hint="eastAsia"/>
          <w:color w:val="000000"/>
        </w:rPr>
        <w:t>+10列。</w:t>
      </w:r>
    </w:p>
    <w:p>
      <w:pPr>
        <w:pStyle w:val="9"/>
        <w:rPr>
          <w:color w:val="000000"/>
        </w:rPr>
      </w:pPr>
      <w:r>
        <w:rPr>
          <w:rFonts w:hint="eastAsia"/>
          <w:color w:val="000000"/>
        </w:rPr>
        <w:t>3.第19列＝第14+15+</w:t>
      </w:r>
      <w:r>
        <w:rPr>
          <w:color w:val="000000"/>
        </w:rPr>
        <w:t>…</w:t>
      </w:r>
      <w:r>
        <w:rPr>
          <w:rFonts w:hint="eastAsia"/>
          <w:color w:val="000000"/>
        </w:rPr>
        <w:t>+18列。</w:t>
      </w:r>
    </w:p>
    <w:p>
      <w:pPr>
        <w:pStyle w:val="12"/>
      </w:pPr>
      <w:r>
        <w:rPr>
          <w:rFonts w:hint="eastAsia"/>
        </w:rPr>
        <w:t>（二）表间关系</w:t>
      </w:r>
    </w:p>
    <w:p>
      <w:pPr>
        <w:pStyle w:val="9"/>
        <w:rPr>
          <w:color w:val="000000"/>
        </w:rPr>
      </w:pPr>
      <w:r>
        <w:rPr>
          <w:rFonts w:hint="eastAsia"/>
          <w:color w:val="000000"/>
        </w:rPr>
        <w:t>若选择“分国（地区）不分项”的境外所得抵免方式，第4列各行+第13列各行＝表A108000第4列相应行次；若选择“不分国（地区）不分项” 的境外所得抵免方式，第4列合计+第13列合计＝表A108000第1行第4列。</w:t>
      </w:r>
    </w:p>
    <w:p>
      <w:pPr>
        <w:pStyle w:val="9"/>
        <w:ind w:firstLine="0" w:firstLineChars="0"/>
        <w:rPr>
          <w:color w:val="000000"/>
        </w:rPr>
        <w:sectPr>
          <w:pgSz w:w="11906" w:h="16838"/>
          <w:pgMar w:top="1985" w:right="1418" w:bottom="1928" w:left="1418" w:header="851" w:footer="992" w:gutter="113"/>
          <w:cols w:space="425" w:num="1"/>
          <w:docGrid w:linePitch="312" w:charSpace="0"/>
        </w:sectPr>
      </w:pPr>
    </w:p>
    <w:p>
      <w:pPr>
        <w:pStyle w:val="13"/>
      </w:pPr>
      <w:bookmarkStart w:id="143" w:name="_Toc499456621"/>
      <w:r>
        <w:rPr>
          <w:rFonts w:hint="eastAsia"/>
        </w:rPr>
        <w:t>A108030</w:t>
      </w:r>
      <w:r>
        <w:tab/>
      </w:r>
      <w:r>
        <w:rPr>
          <w:rFonts w:hint="eastAsia"/>
        </w:rPr>
        <w:t>跨年度结转抵免境外所得税明细表</w:t>
      </w:r>
      <w:bookmarkEnd w:id="143"/>
    </w:p>
    <w:tbl>
      <w:tblPr>
        <w:tblStyle w:val="7"/>
        <w:tblW w:w="1387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6"/>
        <w:gridCol w:w="639"/>
        <w:gridCol w:w="838"/>
        <w:gridCol w:w="611"/>
        <w:gridCol w:w="653"/>
        <w:gridCol w:w="643"/>
        <w:gridCol w:w="610"/>
        <w:gridCol w:w="711"/>
        <w:gridCol w:w="709"/>
        <w:gridCol w:w="684"/>
        <w:gridCol w:w="718"/>
        <w:gridCol w:w="637"/>
        <w:gridCol w:w="833"/>
        <w:gridCol w:w="711"/>
        <w:gridCol w:w="800"/>
        <w:gridCol w:w="806"/>
        <w:gridCol w:w="839"/>
        <w:gridCol w:w="765"/>
        <w:gridCol w:w="537"/>
        <w:gridCol w:w="7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2" w:hRule="atLeast"/>
          <w:jc w:val="center"/>
        </w:trPr>
        <w:tc>
          <w:tcPr>
            <w:tcW w:w="416"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639"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国家(地区)</w:t>
            </w:r>
          </w:p>
        </w:tc>
        <w:tc>
          <w:tcPr>
            <w:tcW w:w="4066" w:type="dxa"/>
            <w:gridSpan w:val="6"/>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前五年境外所得已缴所得税未抵免余额</w:t>
            </w:r>
          </w:p>
        </w:tc>
        <w:tc>
          <w:tcPr>
            <w:tcW w:w="4292" w:type="dxa"/>
            <w:gridSpan w:val="6"/>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本年实际抵免以前年度未抵免的境外已缴所得税额</w:t>
            </w:r>
          </w:p>
        </w:tc>
        <w:tc>
          <w:tcPr>
            <w:tcW w:w="4464" w:type="dxa"/>
            <w:gridSpan w:val="6"/>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结转以后年度抵免的境外所得已缴所得税额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2" w:hRule="atLeast"/>
          <w:jc w:val="center"/>
        </w:trPr>
        <w:tc>
          <w:tcPr>
            <w:tcW w:w="416" w:type="dxa"/>
            <w:vMerge w:val="continue"/>
            <w:shd w:val="clear" w:color="auto" w:fill="auto"/>
            <w:vAlign w:val="center"/>
          </w:tcPr>
          <w:p>
            <w:pPr>
              <w:widowControl/>
              <w:jc w:val="left"/>
              <w:rPr>
                <w:rFonts w:ascii="宋体" w:hAnsi="宋体" w:cs="宋体"/>
                <w:kern w:val="0"/>
                <w:sz w:val="20"/>
                <w:szCs w:val="20"/>
              </w:rPr>
            </w:pPr>
          </w:p>
        </w:tc>
        <w:tc>
          <w:tcPr>
            <w:tcW w:w="639" w:type="dxa"/>
            <w:vMerge w:val="continue"/>
            <w:shd w:val="clear" w:color="auto" w:fill="auto"/>
            <w:vAlign w:val="center"/>
          </w:tcPr>
          <w:p>
            <w:pPr>
              <w:widowControl/>
              <w:jc w:val="left"/>
              <w:rPr>
                <w:rFonts w:ascii="宋体" w:hAnsi="宋体" w:cs="宋体"/>
                <w:kern w:val="0"/>
                <w:sz w:val="20"/>
                <w:szCs w:val="20"/>
              </w:rPr>
            </w:pPr>
          </w:p>
        </w:tc>
        <w:tc>
          <w:tcPr>
            <w:tcW w:w="838"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前五年</w:t>
            </w:r>
          </w:p>
        </w:tc>
        <w:tc>
          <w:tcPr>
            <w:tcW w:w="611"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前四年</w:t>
            </w:r>
          </w:p>
        </w:tc>
        <w:tc>
          <w:tcPr>
            <w:tcW w:w="653"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前三年</w:t>
            </w:r>
          </w:p>
        </w:tc>
        <w:tc>
          <w:tcPr>
            <w:tcW w:w="643"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前二年</w:t>
            </w:r>
          </w:p>
        </w:tc>
        <w:tc>
          <w:tcPr>
            <w:tcW w:w="610"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前一年</w:t>
            </w:r>
          </w:p>
        </w:tc>
        <w:tc>
          <w:tcPr>
            <w:tcW w:w="711"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小计</w:t>
            </w:r>
          </w:p>
        </w:tc>
        <w:tc>
          <w:tcPr>
            <w:tcW w:w="709"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前五年</w:t>
            </w:r>
          </w:p>
        </w:tc>
        <w:tc>
          <w:tcPr>
            <w:tcW w:w="684"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前四年</w:t>
            </w:r>
          </w:p>
        </w:tc>
        <w:tc>
          <w:tcPr>
            <w:tcW w:w="718"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前三年</w:t>
            </w:r>
          </w:p>
        </w:tc>
        <w:tc>
          <w:tcPr>
            <w:tcW w:w="637"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前二年</w:t>
            </w:r>
          </w:p>
        </w:tc>
        <w:tc>
          <w:tcPr>
            <w:tcW w:w="833"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前一年</w:t>
            </w:r>
          </w:p>
        </w:tc>
        <w:tc>
          <w:tcPr>
            <w:tcW w:w="711"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小计</w:t>
            </w:r>
          </w:p>
        </w:tc>
        <w:tc>
          <w:tcPr>
            <w:tcW w:w="800"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前四年</w:t>
            </w:r>
          </w:p>
        </w:tc>
        <w:tc>
          <w:tcPr>
            <w:tcW w:w="806"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前三年</w:t>
            </w:r>
          </w:p>
        </w:tc>
        <w:tc>
          <w:tcPr>
            <w:tcW w:w="839"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前二年</w:t>
            </w:r>
          </w:p>
        </w:tc>
        <w:tc>
          <w:tcPr>
            <w:tcW w:w="765"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前一年</w:t>
            </w:r>
          </w:p>
        </w:tc>
        <w:tc>
          <w:tcPr>
            <w:tcW w:w="537"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本年</w:t>
            </w:r>
          </w:p>
        </w:tc>
        <w:tc>
          <w:tcPr>
            <w:tcW w:w="717"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2" w:hRule="atLeast"/>
          <w:jc w:val="center"/>
        </w:trPr>
        <w:tc>
          <w:tcPr>
            <w:tcW w:w="416" w:type="dxa"/>
            <w:vMerge w:val="continue"/>
            <w:shd w:val="clear" w:color="auto" w:fill="auto"/>
            <w:vAlign w:val="center"/>
          </w:tcPr>
          <w:p>
            <w:pPr>
              <w:widowControl/>
              <w:jc w:val="left"/>
              <w:rPr>
                <w:rFonts w:ascii="宋体" w:hAnsi="宋体" w:cs="宋体"/>
                <w:kern w:val="0"/>
                <w:sz w:val="20"/>
                <w:szCs w:val="20"/>
              </w:rPr>
            </w:pPr>
          </w:p>
        </w:tc>
        <w:tc>
          <w:tcPr>
            <w:tcW w:w="639"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w:t>
            </w:r>
          </w:p>
        </w:tc>
        <w:tc>
          <w:tcPr>
            <w:tcW w:w="838"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2</w:t>
            </w:r>
          </w:p>
        </w:tc>
        <w:tc>
          <w:tcPr>
            <w:tcW w:w="611"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3</w:t>
            </w:r>
          </w:p>
        </w:tc>
        <w:tc>
          <w:tcPr>
            <w:tcW w:w="653"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4</w:t>
            </w:r>
          </w:p>
        </w:tc>
        <w:tc>
          <w:tcPr>
            <w:tcW w:w="643"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5</w:t>
            </w:r>
          </w:p>
        </w:tc>
        <w:tc>
          <w:tcPr>
            <w:tcW w:w="610"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6</w:t>
            </w:r>
          </w:p>
        </w:tc>
        <w:tc>
          <w:tcPr>
            <w:tcW w:w="711"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7(2+</w:t>
            </w:r>
            <w:r>
              <w:rPr>
                <w:rFonts w:ascii="宋体" w:hAnsi="宋体" w:cs="宋体"/>
                <w:kern w:val="0"/>
                <w:sz w:val="20"/>
                <w:szCs w:val="20"/>
              </w:rPr>
              <w:br w:type="textWrapping"/>
            </w:r>
            <w:r>
              <w:rPr>
                <w:rFonts w:ascii="宋体" w:hAnsi="宋体" w:cs="宋体"/>
                <w:kern w:val="0"/>
                <w:sz w:val="20"/>
                <w:szCs w:val="20"/>
              </w:rPr>
              <w:t>…+</w:t>
            </w:r>
            <w:r>
              <w:rPr>
                <w:rFonts w:hint="eastAsia" w:ascii="宋体" w:hAnsi="宋体" w:cs="宋体"/>
                <w:kern w:val="0"/>
                <w:sz w:val="20"/>
                <w:szCs w:val="20"/>
              </w:rPr>
              <w:t>6)</w:t>
            </w:r>
          </w:p>
        </w:tc>
        <w:tc>
          <w:tcPr>
            <w:tcW w:w="709"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8</w:t>
            </w:r>
          </w:p>
        </w:tc>
        <w:tc>
          <w:tcPr>
            <w:tcW w:w="684"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9</w:t>
            </w:r>
          </w:p>
        </w:tc>
        <w:tc>
          <w:tcPr>
            <w:tcW w:w="718"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10</w:t>
            </w:r>
          </w:p>
        </w:tc>
        <w:tc>
          <w:tcPr>
            <w:tcW w:w="637"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11</w:t>
            </w:r>
          </w:p>
        </w:tc>
        <w:tc>
          <w:tcPr>
            <w:tcW w:w="833"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12</w:t>
            </w:r>
          </w:p>
        </w:tc>
        <w:tc>
          <w:tcPr>
            <w:tcW w:w="711"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13(8+</w:t>
            </w:r>
            <w:r>
              <w:rPr>
                <w:rFonts w:ascii="宋体" w:hAnsi="宋体" w:cs="宋体"/>
                <w:kern w:val="0"/>
                <w:sz w:val="20"/>
                <w:szCs w:val="20"/>
              </w:rPr>
              <w:br w:type="textWrapping"/>
            </w:r>
            <w:r>
              <w:rPr>
                <w:rFonts w:ascii="宋体" w:hAnsi="宋体" w:cs="宋体"/>
                <w:kern w:val="0"/>
                <w:sz w:val="20"/>
                <w:szCs w:val="20"/>
              </w:rPr>
              <w:t>…</w:t>
            </w:r>
            <w:r>
              <w:rPr>
                <w:rFonts w:hint="eastAsia" w:ascii="宋体" w:hAnsi="宋体" w:cs="宋体"/>
                <w:kern w:val="0"/>
                <w:sz w:val="20"/>
                <w:szCs w:val="20"/>
              </w:rPr>
              <w:t>+12)</w:t>
            </w:r>
          </w:p>
        </w:tc>
        <w:tc>
          <w:tcPr>
            <w:tcW w:w="800"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14</w:t>
            </w:r>
            <w:r>
              <w:rPr>
                <w:rFonts w:ascii="宋体" w:hAnsi="宋体" w:cs="宋体"/>
                <w:kern w:val="0"/>
                <w:sz w:val="20"/>
                <w:szCs w:val="20"/>
              </w:rPr>
              <w:br w:type="textWrapping"/>
            </w:r>
            <w:r>
              <w:rPr>
                <w:rFonts w:hint="eastAsia" w:ascii="宋体" w:hAnsi="宋体" w:cs="宋体"/>
                <w:kern w:val="0"/>
                <w:sz w:val="20"/>
                <w:szCs w:val="20"/>
              </w:rPr>
              <w:t>(3-9)</w:t>
            </w:r>
          </w:p>
        </w:tc>
        <w:tc>
          <w:tcPr>
            <w:tcW w:w="806"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15</w:t>
            </w:r>
            <w:r>
              <w:rPr>
                <w:rFonts w:ascii="宋体" w:hAnsi="宋体" w:cs="宋体"/>
                <w:kern w:val="0"/>
                <w:sz w:val="20"/>
                <w:szCs w:val="20"/>
              </w:rPr>
              <w:br w:type="textWrapping"/>
            </w:r>
            <w:r>
              <w:rPr>
                <w:rFonts w:hint="eastAsia" w:ascii="宋体" w:hAnsi="宋体" w:cs="宋体"/>
                <w:kern w:val="0"/>
                <w:sz w:val="20"/>
                <w:szCs w:val="20"/>
              </w:rPr>
              <w:t>(4-10)</w:t>
            </w:r>
          </w:p>
        </w:tc>
        <w:tc>
          <w:tcPr>
            <w:tcW w:w="839"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16</w:t>
            </w:r>
            <w:r>
              <w:rPr>
                <w:rFonts w:ascii="宋体" w:hAnsi="宋体" w:cs="宋体"/>
                <w:kern w:val="0"/>
                <w:sz w:val="20"/>
                <w:szCs w:val="20"/>
              </w:rPr>
              <w:br w:type="textWrapping"/>
            </w:r>
            <w:r>
              <w:rPr>
                <w:rFonts w:hint="eastAsia" w:ascii="宋体" w:hAnsi="宋体" w:cs="宋体"/>
                <w:kern w:val="0"/>
                <w:sz w:val="20"/>
                <w:szCs w:val="20"/>
              </w:rPr>
              <w:t>(5-11)</w:t>
            </w:r>
          </w:p>
        </w:tc>
        <w:tc>
          <w:tcPr>
            <w:tcW w:w="765"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17</w:t>
            </w:r>
            <w:r>
              <w:rPr>
                <w:rFonts w:ascii="宋体" w:hAnsi="宋体" w:cs="宋体"/>
                <w:kern w:val="0"/>
                <w:sz w:val="20"/>
                <w:szCs w:val="20"/>
              </w:rPr>
              <w:br w:type="textWrapping"/>
            </w:r>
            <w:r>
              <w:rPr>
                <w:rFonts w:hint="eastAsia" w:ascii="宋体" w:hAnsi="宋体" w:cs="宋体"/>
                <w:kern w:val="0"/>
                <w:sz w:val="20"/>
                <w:szCs w:val="20"/>
              </w:rPr>
              <w:t>(6-12)</w:t>
            </w:r>
          </w:p>
        </w:tc>
        <w:tc>
          <w:tcPr>
            <w:tcW w:w="537"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18</w:t>
            </w:r>
          </w:p>
        </w:tc>
        <w:tc>
          <w:tcPr>
            <w:tcW w:w="717" w:type="dxa"/>
            <w:shd w:val="clear" w:color="auto" w:fill="auto"/>
            <w:vAlign w:val="center"/>
          </w:tcPr>
          <w:p>
            <w:pPr>
              <w:widowControl/>
              <w:ind w:left="-105" w:leftChars="-50" w:right="-105" w:rightChars="-50"/>
              <w:jc w:val="center"/>
              <w:rPr>
                <w:rFonts w:ascii="宋体" w:hAnsi="宋体" w:cs="宋体"/>
                <w:kern w:val="0"/>
                <w:sz w:val="20"/>
                <w:szCs w:val="20"/>
              </w:rPr>
            </w:pPr>
            <w:r>
              <w:rPr>
                <w:rFonts w:hint="eastAsia" w:ascii="宋体" w:hAnsi="宋体" w:cs="宋体"/>
                <w:kern w:val="0"/>
                <w:sz w:val="20"/>
                <w:szCs w:val="20"/>
              </w:rPr>
              <w:t>19(14+</w:t>
            </w:r>
            <w:r>
              <w:rPr>
                <w:rFonts w:ascii="宋体" w:hAnsi="宋体" w:cs="宋体"/>
                <w:kern w:val="0"/>
                <w:sz w:val="20"/>
                <w:szCs w:val="20"/>
              </w:rPr>
              <w:br w:type="textWrapping"/>
            </w:r>
            <w:r>
              <w:rPr>
                <w:rFonts w:ascii="宋体" w:hAnsi="宋体" w:cs="宋体"/>
                <w:kern w:val="0"/>
                <w:sz w:val="20"/>
                <w:szCs w:val="20"/>
              </w:rPr>
              <w:t>…</w:t>
            </w:r>
            <w:r>
              <w:rPr>
                <w:rFonts w:hint="eastAsia" w:ascii="宋体" w:hAnsi="宋体" w:cs="宋体"/>
                <w:kern w:val="0"/>
                <w:sz w:val="20"/>
                <w:szCs w:val="20"/>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63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84"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3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3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63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84"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3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3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63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84"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3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3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63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84"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3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3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63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84"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3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3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63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84"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3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3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63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84"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3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3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63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84"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3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3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63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84"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3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3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416"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63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83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5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1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0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84"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8"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3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3"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6"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3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65"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3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pStyle w:val="9"/>
        <w:sectPr>
          <w:pgSz w:w="16838" w:h="11906" w:orient="landscape"/>
          <w:pgMar w:top="1418" w:right="1985" w:bottom="1418" w:left="1928" w:header="851" w:footer="992" w:gutter="113"/>
          <w:cols w:space="425" w:num="1"/>
          <w:docGrid w:linePitch="312" w:charSpace="0"/>
        </w:sectPr>
      </w:pPr>
    </w:p>
    <w:p>
      <w:pPr>
        <w:pStyle w:val="8"/>
        <w:spacing w:before="240" w:after="360"/>
      </w:pPr>
      <w:bookmarkStart w:id="144" w:name="_Toc499456622"/>
      <w:r>
        <w:rPr>
          <w:rFonts w:hint="eastAsia"/>
        </w:rPr>
        <w:t>A108030</w:t>
      </w:r>
      <w:r>
        <w:tab/>
      </w:r>
      <w:r>
        <w:rPr>
          <w:rFonts w:hint="eastAsia"/>
        </w:rPr>
        <w:t>《跨年度结转抵免境外所得税明细表》填报说明</w:t>
      </w:r>
      <w:bookmarkEnd w:id="144"/>
    </w:p>
    <w:p>
      <w:pPr>
        <w:pStyle w:val="9"/>
        <w:rPr>
          <w:color w:val="000000"/>
        </w:rPr>
      </w:pPr>
      <w:r>
        <w:rPr>
          <w:rFonts w:hint="eastAsia"/>
          <w:color w:val="000000"/>
        </w:rPr>
        <w:t>本表适用于取得境外所得的纳税人填报。纳税人应根据税法、《财政部 国家税务总局关于企业境外所得税收抵免有关问题的通知》（财税〔2009〕125号）、《国家税务总局关于发布〈企业境外所得税收抵免操作指南〉的公告》（国家税务总局公告2010年第1号）</w:t>
      </w:r>
      <w:r>
        <w:rPr>
          <w:rFonts w:hint="eastAsia" w:cs="Calibri"/>
          <w:color w:val="000000"/>
        </w:rPr>
        <w:t>、</w:t>
      </w:r>
      <w:r>
        <w:rPr>
          <w:rFonts w:hint="eastAsia"/>
          <w:color w:val="000000"/>
        </w:rPr>
        <w:t>《财政部 国家税务总局关于我国石油企业从事油（气）资源开采所得税收抵免有关问题的通知》（财税〔</w:t>
      </w:r>
      <w:r>
        <w:rPr>
          <w:color w:val="000000"/>
        </w:rPr>
        <w:t>201</w:t>
      </w:r>
      <w:r>
        <w:rPr>
          <w:rFonts w:hint="eastAsia"/>
          <w:color w:val="000000"/>
        </w:rPr>
        <w:t>1〕23号）、</w:t>
      </w:r>
      <w:r>
        <w:rPr>
          <w:rFonts w:hint="eastAsia" w:cs="Calibri"/>
          <w:color w:val="000000"/>
        </w:rPr>
        <w:t>《财政部</w:t>
      </w:r>
      <w:r>
        <w:rPr>
          <w:rFonts w:cs="Calibri"/>
          <w:color w:val="000000"/>
        </w:rPr>
        <w:t xml:space="preserve"> </w:t>
      </w:r>
      <w:r>
        <w:rPr>
          <w:rFonts w:hint="eastAsia" w:cs="Calibri"/>
          <w:color w:val="000000"/>
        </w:rPr>
        <w:t>税务总局关于完善企业境外所得税收抵免政策问题的通知》（财税〔</w:t>
      </w:r>
      <w:r>
        <w:rPr>
          <w:rFonts w:cs="Calibri"/>
          <w:color w:val="000000"/>
        </w:rPr>
        <w:t>2017</w:t>
      </w:r>
      <w:r>
        <w:rPr>
          <w:rFonts w:hint="eastAsia" w:cs="Calibri"/>
          <w:color w:val="000000"/>
        </w:rPr>
        <w:t>〕</w:t>
      </w:r>
      <w:r>
        <w:rPr>
          <w:rFonts w:cs="Calibri"/>
          <w:color w:val="000000"/>
        </w:rPr>
        <w:t>84</w:t>
      </w:r>
      <w:r>
        <w:rPr>
          <w:rFonts w:hint="eastAsia" w:cs="Calibri"/>
          <w:color w:val="000000"/>
        </w:rPr>
        <w:t>号）规定，</w:t>
      </w:r>
      <w:r>
        <w:rPr>
          <w:rFonts w:hint="eastAsia"/>
          <w:color w:val="000000"/>
        </w:rPr>
        <w:t>填报本年发生的来源于不同国家或地区的境外所得按照我国税收法律、法规的规定可以抵免的所得税额，并按国（地区）别逐行填报。</w:t>
      </w:r>
    </w:p>
    <w:p>
      <w:pPr>
        <w:pStyle w:val="11"/>
        <w:ind w:firstLine="482"/>
      </w:pPr>
      <w:r>
        <w:rPr>
          <w:rFonts w:hint="eastAsia"/>
        </w:rPr>
        <w:t>一、有关项目填报说明</w:t>
      </w:r>
    </w:p>
    <w:p>
      <w:pPr>
        <w:pStyle w:val="9"/>
        <w:rPr>
          <w:color w:val="000000"/>
        </w:rPr>
      </w:pPr>
      <w:r>
        <w:rPr>
          <w:rFonts w:hint="eastAsia"/>
          <w:color w:val="000000"/>
        </w:rPr>
        <w:t>1.第2列至第7列“前五年境外所得已缴所得税未抵免余额”：填报纳税人前五年境外所得已缴纳的企业所得税尚未抵免的余额。</w:t>
      </w:r>
    </w:p>
    <w:p>
      <w:pPr>
        <w:pStyle w:val="9"/>
        <w:rPr>
          <w:color w:val="000000"/>
        </w:rPr>
      </w:pPr>
      <w:r>
        <w:rPr>
          <w:rFonts w:hint="eastAsia"/>
          <w:color w:val="000000"/>
        </w:rPr>
        <w:t>2.第8列至第13列“本年实际抵免以前年度未抵免的境外已缴所得税额”：填报纳税人用本年未超过境外所得税款抵免限额的余额抵免以前年度未抵免的境外已缴所得税额。</w:t>
      </w:r>
    </w:p>
    <w:p>
      <w:pPr>
        <w:pStyle w:val="9"/>
        <w:rPr>
          <w:color w:val="000000"/>
        </w:rPr>
      </w:pPr>
      <w:r>
        <w:rPr>
          <w:rFonts w:hint="eastAsia"/>
          <w:color w:val="000000"/>
        </w:rPr>
        <w:t>3.第14列至第19列“结转以后年度抵免的境外所得已缴所得税额”：填报纳税人以前年度和本年未能抵免并结转以后年度抵免的境外所得已缴所得税额。</w:t>
      </w:r>
    </w:p>
    <w:p>
      <w:pPr>
        <w:pStyle w:val="11"/>
        <w:ind w:firstLine="482"/>
      </w:pPr>
      <w:r>
        <w:rPr>
          <w:rFonts w:hint="eastAsia"/>
        </w:rPr>
        <w:t>二、表内、表间关系</w:t>
      </w:r>
    </w:p>
    <w:p>
      <w:pPr>
        <w:pStyle w:val="12"/>
      </w:pPr>
      <w:r>
        <w:rPr>
          <w:rFonts w:hint="eastAsia"/>
        </w:rPr>
        <w:t>（一）表内关系</w:t>
      </w:r>
    </w:p>
    <w:p>
      <w:pPr>
        <w:pStyle w:val="9"/>
        <w:rPr>
          <w:color w:val="000000"/>
        </w:rPr>
      </w:pPr>
      <w:r>
        <w:rPr>
          <w:rFonts w:hint="eastAsia"/>
          <w:color w:val="000000"/>
        </w:rPr>
        <w:t>1.第7列＝第2+3+</w:t>
      </w:r>
      <w:r>
        <w:rPr>
          <w:color w:val="000000"/>
        </w:rPr>
        <w:t>…</w:t>
      </w:r>
      <w:r>
        <w:rPr>
          <w:rFonts w:hint="eastAsia"/>
          <w:color w:val="000000"/>
        </w:rPr>
        <w:t>+6列。</w:t>
      </w:r>
    </w:p>
    <w:p>
      <w:pPr>
        <w:pStyle w:val="9"/>
        <w:rPr>
          <w:color w:val="000000"/>
        </w:rPr>
      </w:pPr>
      <w:r>
        <w:rPr>
          <w:rFonts w:hint="eastAsia"/>
          <w:color w:val="000000"/>
        </w:rPr>
        <w:t>2.第13列＝第8+9+</w:t>
      </w:r>
      <w:r>
        <w:rPr>
          <w:color w:val="000000"/>
        </w:rPr>
        <w:t>…</w:t>
      </w:r>
      <w:r>
        <w:rPr>
          <w:rFonts w:hint="eastAsia"/>
          <w:color w:val="000000"/>
        </w:rPr>
        <w:t>+12列。</w:t>
      </w:r>
    </w:p>
    <w:p>
      <w:pPr>
        <w:pStyle w:val="9"/>
        <w:rPr>
          <w:color w:val="000000"/>
        </w:rPr>
      </w:pPr>
      <w:r>
        <w:rPr>
          <w:rFonts w:hint="eastAsia"/>
          <w:color w:val="000000"/>
        </w:rPr>
        <w:t>3.第19列＝第14+15+</w:t>
      </w:r>
      <w:r>
        <w:rPr>
          <w:color w:val="000000"/>
        </w:rPr>
        <w:t>…</w:t>
      </w:r>
      <w:r>
        <w:rPr>
          <w:rFonts w:hint="eastAsia"/>
          <w:color w:val="000000"/>
        </w:rPr>
        <w:t>+18列。</w:t>
      </w:r>
    </w:p>
    <w:p>
      <w:pPr>
        <w:pStyle w:val="12"/>
      </w:pPr>
      <w:r>
        <w:rPr>
          <w:rFonts w:hint="eastAsia"/>
        </w:rPr>
        <w:t>（二）表间关系</w:t>
      </w:r>
    </w:p>
    <w:p>
      <w:pPr>
        <w:pStyle w:val="9"/>
        <w:rPr>
          <w:color w:val="000000"/>
        </w:rPr>
      </w:pPr>
      <w:r>
        <w:rPr>
          <w:rFonts w:hint="eastAsia"/>
          <w:color w:val="000000"/>
        </w:rPr>
        <w:t>1.若选择“分国（地区）不分项”的境外所得抵免方式，第13列各行＝表A108000第14列相应行次；若选择“不分国（地区）不分项” 的境外所得抵免方式，第13列合计＝表A108000第1行第14列。</w:t>
      </w:r>
    </w:p>
    <w:p>
      <w:pPr>
        <w:pStyle w:val="9"/>
        <w:rPr>
          <w:color w:val="000000"/>
        </w:rPr>
      </w:pPr>
      <w:r>
        <w:rPr>
          <w:rFonts w:hint="eastAsia"/>
          <w:color w:val="000000"/>
        </w:rPr>
        <w:t>2.若选择“分国（地区）不分项”的境外所得抵免方式，第18列各行＝表A108000第10列相应行次-第12列相应行次（当表A108000第10列相应行次大于第12列相应行次时填报）；若选择“不分国（地区）不分项” 的境外所得抵免方式，第18列合计＝表A108000第1行第10列-第1行第12列（当表A108000第1行第10列次大于第1行第12列时填报）。</w:t>
      </w:r>
    </w:p>
    <w:p>
      <w:pPr>
        <w:pStyle w:val="9"/>
        <w:ind w:firstLine="0" w:firstLineChars="0"/>
        <w:rPr>
          <w:color w:val="000000"/>
        </w:rPr>
        <w:sectPr>
          <w:pgSz w:w="11906" w:h="16838"/>
          <w:pgMar w:top="1985" w:right="1418" w:bottom="1928" w:left="1418" w:header="851" w:footer="992" w:gutter="113"/>
          <w:cols w:space="425" w:num="1"/>
          <w:docGrid w:linePitch="312" w:charSpace="0"/>
        </w:sectPr>
      </w:pPr>
    </w:p>
    <w:p>
      <w:pPr>
        <w:pStyle w:val="10"/>
      </w:pPr>
      <w:bookmarkStart w:id="145" w:name="_Toc499456623"/>
      <w:r>
        <w:rPr>
          <w:rFonts w:hint="eastAsia"/>
        </w:rPr>
        <w:t>A109000</w:t>
      </w:r>
      <w:r>
        <w:tab/>
      </w:r>
      <w:r>
        <w:rPr>
          <w:rFonts w:hint="eastAsia"/>
        </w:rPr>
        <w:t>跨地区经营汇总纳税企业年度分摊企业所得税明细表</w:t>
      </w:r>
      <w:bookmarkEnd w:id="145"/>
    </w:p>
    <w:tbl>
      <w:tblPr>
        <w:tblStyle w:val="7"/>
        <w:tblW w:w="976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7567"/>
        <w:gridCol w:w="1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7567" w:type="dxa"/>
            <w:shd w:val="clear" w:color="auto" w:fill="auto"/>
            <w:vAlign w:val="center"/>
          </w:tcPr>
          <w:p>
            <w:pPr>
              <w:widowControl/>
              <w:jc w:val="center"/>
              <w:rPr>
                <w:rFonts w:ascii="宋体" w:hAnsi="宋体" w:cs="宋体"/>
                <w:kern w:val="0"/>
                <w:sz w:val="20"/>
                <w:szCs w:val="20"/>
              </w:rPr>
            </w:pPr>
            <w:r>
              <w:rPr>
                <w:rFonts w:hint="eastAsia" w:ascii="宋体" w:hAnsi="宋体" w:cs="宋体"/>
                <w:spacing w:val="500"/>
                <w:kern w:val="0"/>
                <w:sz w:val="20"/>
                <w:szCs w:val="20"/>
                <w:fitText w:val="1400" w:id="15"/>
              </w:rPr>
              <w:t>项</w:t>
            </w:r>
            <w:r>
              <w:rPr>
                <w:rFonts w:hint="eastAsia" w:ascii="宋体" w:hAnsi="宋体" w:cs="宋体"/>
                <w:kern w:val="0"/>
                <w:sz w:val="20"/>
                <w:szCs w:val="20"/>
                <w:fitText w:val="1400" w:id="15"/>
              </w:rPr>
              <w:t>目</w:t>
            </w:r>
          </w:p>
        </w:tc>
        <w:tc>
          <w:tcPr>
            <w:tcW w:w="1559" w:type="dxa"/>
            <w:shd w:val="clear" w:color="auto" w:fill="auto"/>
            <w:vAlign w:val="center"/>
          </w:tcPr>
          <w:p>
            <w:pPr>
              <w:widowControl/>
              <w:jc w:val="center"/>
              <w:rPr>
                <w:rFonts w:ascii="宋体" w:hAnsi="宋体" w:cs="宋体"/>
                <w:kern w:val="0"/>
                <w:sz w:val="20"/>
                <w:szCs w:val="20"/>
              </w:rPr>
            </w:pPr>
            <w:r>
              <w:rPr>
                <w:rFonts w:hint="eastAsia" w:ascii="宋体" w:hAnsi="宋体" w:cs="宋体"/>
                <w:spacing w:val="200"/>
                <w:kern w:val="0"/>
                <w:sz w:val="20"/>
                <w:szCs w:val="20"/>
                <w:fitText w:val="800" w:id="16"/>
              </w:rPr>
              <w:t>金</w:t>
            </w:r>
            <w:r>
              <w:rPr>
                <w:rFonts w:hint="eastAsia" w:ascii="宋体" w:hAnsi="宋体" w:cs="宋体"/>
                <w:kern w:val="0"/>
                <w:sz w:val="20"/>
                <w:szCs w:val="20"/>
                <w:fitText w:val="800" w:id="16"/>
              </w:rPr>
              <w:t>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56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一、实际应纳所得税额</w:t>
            </w:r>
          </w:p>
        </w:tc>
        <w:tc>
          <w:tcPr>
            <w:tcW w:w="155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7567"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减：境外所得应纳所得税额</w:t>
            </w:r>
          </w:p>
        </w:tc>
        <w:tc>
          <w:tcPr>
            <w:tcW w:w="155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7567"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加：境外所得抵免所得税额</w:t>
            </w:r>
          </w:p>
        </w:tc>
        <w:tc>
          <w:tcPr>
            <w:tcW w:w="155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756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二、用于分摊的本年实际应纳所得税额（1-2+3）</w:t>
            </w:r>
          </w:p>
        </w:tc>
        <w:tc>
          <w:tcPr>
            <w:tcW w:w="155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756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三、本年累计已预分、已分摊所得税额（6+7+8+9）</w:t>
            </w:r>
          </w:p>
        </w:tc>
        <w:tc>
          <w:tcPr>
            <w:tcW w:w="155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7567"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（一）总机构直接管理建筑项目部已预分所得税额</w:t>
            </w:r>
          </w:p>
        </w:tc>
        <w:tc>
          <w:tcPr>
            <w:tcW w:w="155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7567"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（二）总机构已分摊所得税额</w:t>
            </w:r>
          </w:p>
        </w:tc>
        <w:tc>
          <w:tcPr>
            <w:tcW w:w="155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7567"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（三）财政集中已分配所得税额</w:t>
            </w:r>
          </w:p>
        </w:tc>
        <w:tc>
          <w:tcPr>
            <w:tcW w:w="155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7567"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（四）分支机构已分摊所得税额</w:t>
            </w:r>
          </w:p>
        </w:tc>
        <w:tc>
          <w:tcPr>
            <w:tcW w:w="155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7567" w:type="dxa"/>
            <w:shd w:val="clear" w:color="auto" w:fill="auto"/>
            <w:vAlign w:val="center"/>
          </w:tcPr>
          <w:p>
            <w:pPr>
              <w:widowControl/>
              <w:ind w:firstLine="1000" w:firstLineChars="500"/>
              <w:jc w:val="left"/>
              <w:rPr>
                <w:rFonts w:ascii="宋体" w:hAnsi="宋体" w:cs="宋体"/>
                <w:kern w:val="0"/>
                <w:sz w:val="20"/>
                <w:szCs w:val="20"/>
              </w:rPr>
            </w:pPr>
            <w:r>
              <w:rPr>
                <w:rFonts w:hint="eastAsia" w:ascii="宋体" w:hAnsi="宋体" w:cs="宋体"/>
                <w:kern w:val="0"/>
                <w:sz w:val="20"/>
                <w:szCs w:val="20"/>
              </w:rPr>
              <w:t>其中：总机构主体生产经营部门已分摊所得税额</w:t>
            </w:r>
          </w:p>
        </w:tc>
        <w:tc>
          <w:tcPr>
            <w:tcW w:w="155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756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四、本年度应分摊的应补（退）的所得税额（4-5）</w:t>
            </w:r>
          </w:p>
        </w:tc>
        <w:tc>
          <w:tcPr>
            <w:tcW w:w="155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7567"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（一）总机构分摊本年应补（退）的所得税额（11×总机构分摊比例）</w:t>
            </w:r>
          </w:p>
        </w:tc>
        <w:tc>
          <w:tcPr>
            <w:tcW w:w="155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7567"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（二）财政集中分配本年应补（退）的所得税额（11×财政集中分配比例）</w:t>
            </w:r>
          </w:p>
        </w:tc>
        <w:tc>
          <w:tcPr>
            <w:tcW w:w="155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7567" w:type="dxa"/>
            <w:shd w:val="clear" w:color="auto" w:fill="auto"/>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（三）分支机构分摊本年应补（退）的所得税额（11×分支机构分摊比例）</w:t>
            </w:r>
          </w:p>
        </w:tc>
        <w:tc>
          <w:tcPr>
            <w:tcW w:w="1559"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7567" w:type="dxa"/>
            <w:shd w:val="clear" w:color="auto" w:fill="auto"/>
            <w:vAlign w:val="center"/>
          </w:tcPr>
          <w:p>
            <w:pPr>
              <w:widowControl/>
              <w:ind w:firstLine="1000" w:firstLineChars="500"/>
              <w:jc w:val="left"/>
              <w:rPr>
                <w:rFonts w:ascii="宋体" w:hAnsi="宋体" w:cs="宋体"/>
                <w:kern w:val="0"/>
                <w:sz w:val="20"/>
                <w:szCs w:val="20"/>
              </w:rPr>
            </w:pPr>
            <w:r>
              <w:rPr>
                <w:rFonts w:hint="eastAsia" w:ascii="宋体" w:hAnsi="宋体" w:cs="宋体"/>
                <w:kern w:val="0"/>
                <w:sz w:val="20"/>
                <w:szCs w:val="20"/>
              </w:rPr>
              <w:t>其中：总机构主体生产经营部门分摊本年应补（退）的所得税额（11×总机构主体生产经营部门分摊比例）</w:t>
            </w:r>
          </w:p>
        </w:tc>
        <w:tc>
          <w:tcPr>
            <w:tcW w:w="155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756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五、境外所得抵免后的应纳所得税额（2-3）</w:t>
            </w:r>
          </w:p>
        </w:tc>
        <w:tc>
          <w:tcPr>
            <w:tcW w:w="155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7567" w:type="dxa"/>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六、总机构本年应补（退）所得税额（12+13+15+16）</w:t>
            </w:r>
          </w:p>
        </w:tc>
        <w:tc>
          <w:tcPr>
            <w:tcW w:w="1559"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bl>
    <w:p>
      <w:pPr>
        <w:pStyle w:val="9"/>
      </w:pPr>
    </w:p>
    <w:p>
      <w:pPr>
        <w:pStyle w:val="10"/>
      </w:pPr>
      <w:r>
        <w:br w:type="page"/>
      </w:r>
    </w:p>
    <w:p>
      <w:pPr>
        <w:pStyle w:val="8"/>
        <w:spacing w:before="240" w:after="360"/>
      </w:pPr>
      <w:bookmarkStart w:id="146" w:name="_Toc499456624"/>
      <w:r>
        <w:rPr>
          <w:rFonts w:hint="eastAsia"/>
        </w:rPr>
        <w:t>A109000</w:t>
      </w:r>
      <w:r>
        <w:tab/>
      </w:r>
      <w:r>
        <w:rPr>
          <w:rFonts w:hint="eastAsia"/>
        </w:rPr>
        <w:t>《跨地区经营汇总纳税企业年度分摊企业所得税明细表》</w:t>
      </w:r>
      <w:r>
        <w:br w:type="textWrapping"/>
      </w:r>
      <w:r>
        <w:rPr>
          <w:rFonts w:hint="eastAsia"/>
        </w:rPr>
        <w:t>填报说明</w:t>
      </w:r>
      <w:bookmarkEnd w:id="146"/>
    </w:p>
    <w:p>
      <w:pPr>
        <w:pStyle w:val="9"/>
      </w:pPr>
      <w:r>
        <w:rPr>
          <w:rFonts w:hint="eastAsia"/>
        </w:rPr>
        <w:t>本表适用于跨地区经营汇总纳税的纳税人填报。纳税人应根据税法、《财政部 国家税务总局 中国人民银行关于印发〈跨省市总分机构企业所得税分配及预算管理办法〉的通知》（财预〔2012〕40号）、《国家税务总局关于印发〈跨地区经营汇总纳税企业所得税征收管理办法〉的公告》（国家税务总局公告2012年第57号）规定计算企业每一纳税年度应缴的企业所得税、总机构和分支机构应分摊的企业所得税。仅在同一省（自治区、直辖市和计划单列市）内设立不具有法人资格分支机构的汇总纳税企业，省（自治区、直辖市和计划单列市）参照上述文件规定制定企业所得税分配管理办法的，按照其规定填报本表。</w:t>
      </w:r>
    </w:p>
    <w:p>
      <w:pPr>
        <w:pStyle w:val="11"/>
        <w:ind w:firstLine="482"/>
      </w:pPr>
      <w:r>
        <w:rPr>
          <w:rFonts w:hint="eastAsia"/>
        </w:rPr>
        <w:t>一、有关项目填报说明</w:t>
      </w:r>
    </w:p>
    <w:p>
      <w:pPr>
        <w:pStyle w:val="9"/>
      </w:pPr>
      <w:r>
        <w:rPr>
          <w:rFonts w:hint="eastAsia"/>
        </w:rPr>
        <w:t>1.第1行“实际应纳所得税额”：填报表A100000第31行的金额。</w:t>
      </w:r>
    </w:p>
    <w:p>
      <w:pPr>
        <w:pStyle w:val="9"/>
      </w:pPr>
      <w:r>
        <w:t>2</w:t>
      </w:r>
      <w:r>
        <w:rPr>
          <w:rFonts w:hint="eastAsia"/>
        </w:rPr>
        <w:t>.第2行“境外所得应纳所得税额”：填报表A100000第29行的金额。</w:t>
      </w:r>
    </w:p>
    <w:p>
      <w:pPr>
        <w:pStyle w:val="9"/>
      </w:pPr>
      <w:r>
        <w:t>3</w:t>
      </w:r>
      <w:r>
        <w:rPr>
          <w:rFonts w:hint="eastAsia"/>
        </w:rPr>
        <w:t>.第3行“境外所得抵免所得税额”：填报表A100000第30行的金额。</w:t>
      </w:r>
    </w:p>
    <w:p>
      <w:pPr>
        <w:pStyle w:val="9"/>
      </w:pPr>
      <w:r>
        <w:t>4</w:t>
      </w:r>
      <w:r>
        <w:rPr>
          <w:rFonts w:hint="eastAsia"/>
        </w:rPr>
        <w:t>.第4行“用于分摊的本年实际应纳所得税额”：填报第1-2+3行的金额。</w:t>
      </w:r>
    </w:p>
    <w:p>
      <w:pPr>
        <w:pStyle w:val="9"/>
      </w:pPr>
      <w:r>
        <w:t>5</w:t>
      </w:r>
      <w:r>
        <w:rPr>
          <w:rFonts w:hint="eastAsia"/>
        </w:rPr>
        <w:t>.第5行“本年累计已预分、已分摊所得税额”：填报企业按照税收规定计算的分支机构本年累计已分摊的所得税额、建筑企业总机构直接管理的跨地区项目部本年累计已预分并就地预缴的所得税额。填报第6+7+8+9行的合计金额。</w:t>
      </w:r>
    </w:p>
    <w:p>
      <w:pPr>
        <w:pStyle w:val="9"/>
      </w:pPr>
      <w:r>
        <w:t>6</w:t>
      </w:r>
      <w:r>
        <w:rPr>
          <w:rFonts w:hint="eastAsia"/>
        </w:rPr>
        <w:t>.第6行“总机构直接管理建筑项目部已预分所得税额”：填报建筑企业总机构按照规定在预缴纳税申报时，向其总机构直接管理的项目部所在地按照项目收入的0.2%预分的所得税额。</w:t>
      </w:r>
    </w:p>
    <w:p>
      <w:pPr>
        <w:pStyle w:val="9"/>
      </w:pPr>
      <w:r>
        <w:t>7</w:t>
      </w:r>
      <w:r>
        <w:rPr>
          <w:rFonts w:hint="eastAsia"/>
        </w:rPr>
        <w:t>.第7行“总机构已分摊所得税额”：填报企业在预缴申报时已按照规定比例计算缴纳的由总机构分摊的所得税额。</w:t>
      </w:r>
    </w:p>
    <w:p>
      <w:pPr>
        <w:pStyle w:val="9"/>
      </w:pPr>
      <w:r>
        <w:t>8</w:t>
      </w:r>
      <w:r>
        <w:rPr>
          <w:rFonts w:hint="eastAsia"/>
        </w:rPr>
        <w:t>.第8行“财政集中已分配所得税额”：填报企业在预缴申报时已按照规定比例计算缴纳的由财政集中分配的所得税额。</w:t>
      </w:r>
    </w:p>
    <w:p>
      <w:pPr>
        <w:pStyle w:val="9"/>
      </w:pPr>
      <w:r>
        <w:t>9</w:t>
      </w:r>
      <w:r>
        <w:rPr>
          <w:rFonts w:hint="eastAsia"/>
        </w:rPr>
        <w:t>.第9行“分支机构已分摊所得税额”：填报企业在预缴申报时已按照规定比例计算缴纳的由所属分支机构分摊的所得税额。</w:t>
      </w:r>
    </w:p>
    <w:p>
      <w:pPr>
        <w:pStyle w:val="9"/>
      </w:pPr>
      <w:r>
        <w:rPr>
          <w:rFonts w:hint="eastAsia"/>
        </w:rPr>
        <w:t>1</w:t>
      </w:r>
      <w:r>
        <w:t>0</w:t>
      </w:r>
      <w:r>
        <w:rPr>
          <w:rFonts w:hint="eastAsia"/>
        </w:rPr>
        <w:t>.第10行“其中：总机构主体生产经营部门已分摊所得税额”：填报企业在预缴申报时已按照规定比例计算缴纳的由总机构主体生产经营部门分摊的所得税额。</w:t>
      </w:r>
    </w:p>
    <w:p>
      <w:pPr>
        <w:pStyle w:val="9"/>
      </w:pPr>
      <w:r>
        <w:rPr>
          <w:rFonts w:hint="eastAsia"/>
        </w:rPr>
        <w:t>1</w:t>
      </w:r>
      <w:r>
        <w:t>1</w:t>
      </w:r>
      <w:r>
        <w:rPr>
          <w:rFonts w:hint="eastAsia"/>
        </w:rPr>
        <w:t>.第11行“本年度应分摊的应补（退）的所得税额”：填报企业本年度应补（退）的所得税额，不包括境外所得应纳所得税额。填报第4-5行的余额。</w:t>
      </w:r>
    </w:p>
    <w:p>
      <w:pPr>
        <w:pStyle w:val="9"/>
      </w:pPr>
      <w:r>
        <w:rPr>
          <w:rFonts w:hint="eastAsia"/>
        </w:rPr>
        <w:t>1</w:t>
      </w:r>
      <w:r>
        <w:t>2</w:t>
      </w:r>
      <w:r>
        <w:rPr>
          <w:rFonts w:hint="eastAsia"/>
        </w:rPr>
        <w:t>.第12行“总机构分摊本年应补（退）的所得税额”：填报第11行×总机构分摊比例后的金额。</w:t>
      </w:r>
    </w:p>
    <w:p>
      <w:pPr>
        <w:pStyle w:val="9"/>
      </w:pPr>
      <w:r>
        <w:rPr>
          <w:rFonts w:hint="eastAsia"/>
        </w:rPr>
        <w:t>1</w:t>
      </w:r>
      <w:r>
        <w:t>3</w:t>
      </w:r>
      <w:r>
        <w:rPr>
          <w:rFonts w:hint="eastAsia"/>
        </w:rPr>
        <w:t>.第13行“财政集中分配本年应补（退）的所得税额”：填报第11行×财政集中分配比例后的金额。</w:t>
      </w:r>
    </w:p>
    <w:p>
      <w:pPr>
        <w:pStyle w:val="9"/>
      </w:pPr>
      <w:r>
        <w:rPr>
          <w:rFonts w:hint="eastAsia"/>
        </w:rPr>
        <w:t>1</w:t>
      </w:r>
      <w:r>
        <w:t>4</w:t>
      </w:r>
      <w:r>
        <w:rPr>
          <w:rFonts w:hint="eastAsia"/>
        </w:rPr>
        <w:t>.第14行“分支机构分摊本年应补（退）的所得税额”：填报第11行×分支机构分摊比例后的金额。</w:t>
      </w:r>
    </w:p>
    <w:p>
      <w:pPr>
        <w:pStyle w:val="9"/>
      </w:pPr>
      <w:r>
        <w:rPr>
          <w:rFonts w:hint="eastAsia"/>
        </w:rPr>
        <w:t>1</w:t>
      </w:r>
      <w:r>
        <w:t>5</w:t>
      </w:r>
      <w:r>
        <w:rPr>
          <w:rFonts w:hint="eastAsia"/>
        </w:rPr>
        <w:t>.第15行“其中：总机构主体生产经营部门分摊本年应补（退）的所得税额”：填报第11行×总机构主体生产经营部门分摊比例后的金额。</w:t>
      </w:r>
    </w:p>
    <w:p>
      <w:pPr>
        <w:pStyle w:val="9"/>
      </w:pPr>
      <w:r>
        <w:rPr>
          <w:rFonts w:hint="eastAsia"/>
        </w:rPr>
        <w:t>1</w:t>
      </w:r>
      <w:r>
        <w:t>6</w:t>
      </w:r>
      <w:r>
        <w:rPr>
          <w:rFonts w:hint="eastAsia"/>
        </w:rPr>
        <w:t>.第16行“境外所得抵免后的应纳所得税额”：填报第2-3行的余额。</w:t>
      </w:r>
    </w:p>
    <w:p>
      <w:pPr>
        <w:pStyle w:val="9"/>
      </w:pPr>
      <w:r>
        <w:rPr>
          <w:rFonts w:hint="eastAsia"/>
        </w:rPr>
        <w:t>1</w:t>
      </w:r>
      <w:r>
        <w:t>7</w:t>
      </w:r>
      <w:r>
        <w:rPr>
          <w:rFonts w:hint="eastAsia"/>
        </w:rPr>
        <w:t>.第17行“总机构本年应补（退）所得税额”：填报第12+13+15+16行的合计金额。</w:t>
      </w:r>
    </w:p>
    <w:p>
      <w:pPr>
        <w:pStyle w:val="11"/>
        <w:ind w:firstLine="482"/>
      </w:pPr>
      <w:r>
        <w:rPr>
          <w:rFonts w:hint="eastAsia"/>
        </w:rPr>
        <w:t>二、表内、表间关系</w:t>
      </w:r>
    </w:p>
    <w:p>
      <w:pPr>
        <w:pStyle w:val="12"/>
      </w:pPr>
      <w:r>
        <w:rPr>
          <w:rFonts w:hint="eastAsia"/>
        </w:rPr>
        <w:t>（一）表内关系</w:t>
      </w:r>
    </w:p>
    <w:p>
      <w:pPr>
        <w:pStyle w:val="9"/>
        <w:rPr>
          <w:color w:val="000000"/>
        </w:rPr>
      </w:pPr>
      <w:r>
        <w:rPr>
          <w:rFonts w:hint="eastAsia"/>
          <w:color w:val="000000"/>
        </w:rPr>
        <w:t>1.第4行＝第1-2+3行。</w:t>
      </w:r>
    </w:p>
    <w:p>
      <w:pPr>
        <w:pStyle w:val="9"/>
        <w:rPr>
          <w:color w:val="000000"/>
        </w:rPr>
      </w:pPr>
      <w:r>
        <w:rPr>
          <w:rFonts w:hint="eastAsia"/>
          <w:color w:val="000000"/>
        </w:rPr>
        <w:t>2.第5行＝第6+7+8+9行。</w:t>
      </w:r>
    </w:p>
    <w:p>
      <w:pPr>
        <w:pStyle w:val="9"/>
        <w:rPr>
          <w:color w:val="000000"/>
        </w:rPr>
      </w:pPr>
      <w:r>
        <w:rPr>
          <w:rFonts w:hint="eastAsia"/>
          <w:color w:val="000000"/>
        </w:rPr>
        <w:t>3.第11行＝第4-5行。</w:t>
      </w:r>
    </w:p>
    <w:p>
      <w:pPr>
        <w:pStyle w:val="9"/>
        <w:rPr>
          <w:color w:val="000000"/>
        </w:rPr>
      </w:pPr>
      <w:r>
        <w:rPr>
          <w:rFonts w:hint="eastAsia"/>
          <w:color w:val="000000"/>
        </w:rPr>
        <w:t>4.第12行＝第11行×</w:t>
      </w:r>
      <w:r>
        <w:rPr>
          <w:rFonts w:hint="eastAsia"/>
        </w:rPr>
        <w:t>总机构分摊</w:t>
      </w:r>
      <w:r>
        <w:rPr>
          <w:rFonts w:hint="eastAsia"/>
          <w:color w:val="000000"/>
        </w:rPr>
        <w:t>比例。</w:t>
      </w:r>
    </w:p>
    <w:p>
      <w:pPr>
        <w:pStyle w:val="9"/>
        <w:rPr>
          <w:color w:val="000000"/>
        </w:rPr>
      </w:pPr>
      <w:r>
        <w:rPr>
          <w:rFonts w:hint="eastAsia"/>
          <w:color w:val="000000"/>
        </w:rPr>
        <w:t>5.第13行＝第11行×</w:t>
      </w:r>
      <w:r>
        <w:rPr>
          <w:rFonts w:hint="eastAsia"/>
        </w:rPr>
        <w:t>财政集中分配</w:t>
      </w:r>
      <w:r>
        <w:rPr>
          <w:rFonts w:hint="eastAsia"/>
          <w:color w:val="000000"/>
        </w:rPr>
        <w:t>比例。</w:t>
      </w:r>
    </w:p>
    <w:p>
      <w:pPr>
        <w:pStyle w:val="9"/>
        <w:rPr>
          <w:color w:val="000000"/>
        </w:rPr>
      </w:pPr>
      <w:r>
        <w:rPr>
          <w:rFonts w:hint="eastAsia"/>
          <w:color w:val="000000"/>
        </w:rPr>
        <w:t>6.第14行＝第11行×</w:t>
      </w:r>
      <w:r>
        <w:rPr>
          <w:rFonts w:hint="eastAsia"/>
        </w:rPr>
        <w:t>分支机构分摊</w:t>
      </w:r>
      <w:r>
        <w:rPr>
          <w:rFonts w:hint="eastAsia"/>
          <w:color w:val="000000"/>
        </w:rPr>
        <w:t>比例。</w:t>
      </w:r>
    </w:p>
    <w:p>
      <w:pPr>
        <w:pStyle w:val="9"/>
        <w:rPr>
          <w:color w:val="000000"/>
        </w:rPr>
      </w:pPr>
      <w:r>
        <w:rPr>
          <w:rFonts w:hint="eastAsia"/>
          <w:color w:val="000000"/>
        </w:rPr>
        <w:t>7.第15行＝第11行×总机构主体生产经营部门分摊比例。</w:t>
      </w:r>
    </w:p>
    <w:p>
      <w:pPr>
        <w:pStyle w:val="9"/>
        <w:rPr>
          <w:color w:val="000000"/>
        </w:rPr>
      </w:pPr>
      <w:r>
        <w:rPr>
          <w:rFonts w:hint="eastAsia"/>
          <w:color w:val="000000"/>
        </w:rPr>
        <w:t>8.第16行＝第2-3行。</w:t>
      </w:r>
    </w:p>
    <w:p>
      <w:pPr>
        <w:pStyle w:val="9"/>
        <w:rPr>
          <w:color w:val="000000"/>
        </w:rPr>
      </w:pPr>
      <w:r>
        <w:rPr>
          <w:rFonts w:hint="eastAsia"/>
          <w:color w:val="000000"/>
        </w:rPr>
        <w:t>9.第17行＝第12+13+15+16行。</w:t>
      </w:r>
    </w:p>
    <w:p>
      <w:pPr>
        <w:pStyle w:val="12"/>
      </w:pPr>
      <w:r>
        <w:rPr>
          <w:rFonts w:hint="eastAsia"/>
        </w:rPr>
        <w:t>（二）表间关系</w:t>
      </w:r>
    </w:p>
    <w:p>
      <w:pPr>
        <w:pStyle w:val="9"/>
        <w:rPr>
          <w:color w:val="000000"/>
        </w:rPr>
      </w:pPr>
      <w:r>
        <w:rPr>
          <w:rFonts w:hint="eastAsia"/>
          <w:color w:val="000000"/>
        </w:rPr>
        <w:t>1.第1行＝表A10000第31行。</w:t>
      </w:r>
    </w:p>
    <w:p>
      <w:pPr>
        <w:pStyle w:val="9"/>
        <w:rPr>
          <w:color w:val="000000"/>
        </w:rPr>
      </w:pPr>
      <w:r>
        <w:rPr>
          <w:rFonts w:hint="eastAsia"/>
          <w:color w:val="000000"/>
        </w:rPr>
        <w:t>2.第2行＝表A10000第29行。</w:t>
      </w:r>
    </w:p>
    <w:p>
      <w:pPr>
        <w:pStyle w:val="9"/>
        <w:rPr>
          <w:color w:val="000000"/>
        </w:rPr>
      </w:pPr>
      <w:r>
        <w:rPr>
          <w:rFonts w:hint="eastAsia"/>
          <w:color w:val="000000"/>
        </w:rPr>
        <w:t>3.第3行＝表A10000第30行。</w:t>
      </w:r>
    </w:p>
    <w:p>
      <w:pPr>
        <w:pStyle w:val="9"/>
        <w:rPr>
          <w:color w:val="000000"/>
        </w:rPr>
      </w:pPr>
      <w:r>
        <w:rPr>
          <w:rFonts w:hint="eastAsia"/>
          <w:color w:val="000000"/>
        </w:rPr>
        <w:t>4.第5行＝表A10000第32行。</w:t>
      </w:r>
    </w:p>
    <w:p>
      <w:pPr>
        <w:pStyle w:val="9"/>
        <w:rPr>
          <w:color w:val="000000"/>
        </w:rPr>
      </w:pPr>
      <w:r>
        <w:rPr>
          <w:rFonts w:hint="eastAsia"/>
          <w:color w:val="000000"/>
        </w:rPr>
        <w:t>5.第12+16行＝表A10000第34行。</w:t>
      </w:r>
    </w:p>
    <w:p>
      <w:pPr>
        <w:pStyle w:val="9"/>
        <w:rPr>
          <w:color w:val="000000"/>
        </w:rPr>
      </w:pPr>
      <w:r>
        <w:rPr>
          <w:rFonts w:hint="eastAsia"/>
          <w:color w:val="000000"/>
        </w:rPr>
        <w:t>6.第13行＝表A100000第35行。</w:t>
      </w:r>
    </w:p>
    <w:p>
      <w:pPr>
        <w:pStyle w:val="9"/>
        <w:rPr>
          <w:color w:val="000000"/>
        </w:rPr>
        <w:sectPr>
          <w:footerReference r:id="rId12" w:type="first"/>
          <w:pgSz w:w="11906" w:h="16838"/>
          <w:pgMar w:top="1985" w:right="1418" w:bottom="1928" w:left="1418" w:header="851" w:footer="992" w:gutter="113"/>
          <w:cols w:space="425" w:num="1"/>
          <w:titlePg/>
          <w:docGrid w:linePitch="312" w:charSpace="0"/>
        </w:sectPr>
      </w:pPr>
      <w:r>
        <w:rPr>
          <w:rFonts w:hint="eastAsia"/>
          <w:color w:val="000000"/>
        </w:rPr>
        <w:t>7.第15行＝表A10000第36行。</w:t>
      </w:r>
    </w:p>
    <w:p>
      <w:pPr>
        <w:pStyle w:val="13"/>
      </w:pPr>
      <w:bookmarkStart w:id="147" w:name="_Toc499456625"/>
      <w:r>
        <w:rPr>
          <w:rFonts w:hint="eastAsia"/>
        </w:rPr>
        <w:t>A109010</w:t>
      </w:r>
      <w:r>
        <w:tab/>
      </w:r>
      <w:r>
        <w:rPr>
          <w:rFonts w:hint="eastAsia"/>
        </w:rPr>
        <w:t>企业所得税汇总纳税分支机构所得税分配表</w:t>
      </w:r>
      <w:bookmarkEnd w:id="147"/>
    </w:p>
    <w:tbl>
      <w:tblPr>
        <w:tblStyle w:val="7"/>
        <w:tblW w:w="14520" w:type="dxa"/>
        <w:jc w:val="center"/>
        <w:tblInd w:w="0" w:type="dxa"/>
        <w:tblLayout w:type="fixed"/>
        <w:tblCellMar>
          <w:top w:w="0" w:type="dxa"/>
          <w:left w:w="108" w:type="dxa"/>
          <w:bottom w:w="0" w:type="dxa"/>
          <w:right w:w="108" w:type="dxa"/>
        </w:tblCellMar>
      </w:tblPr>
      <w:tblGrid>
        <w:gridCol w:w="640"/>
        <w:gridCol w:w="2720"/>
        <w:gridCol w:w="2720"/>
        <w:gridCol w:w="1760"/>
        <w:gridCol w:w="1760"/>
        <w:gridCol w:w="1760"/>
        <w:gridCol w:w="1060"/>
        <w:gridCol w:w="2100"/>
      </w:tblGrid>
      <w:tr>
        <w:tblPrEx>
          <w:tblLayout w:type="fixed"/>
          <w:tblCellMar>
            <w:top w:w="0" w:type="dxa"/>
            <w:left w:w="108" w:type="dxa"/>
            <w:bottom w:w="0" w:type="dxa"/>
            <w:right w:w="108" w:type="dxa"/>
          </w:tblCellMar>
        </w:tblPrEx>
        <w:trPr>
          <w:cantSplit/>
          <w:trHeight w:val="340" w:hRule="atLeast"/>
          <w:jc w:val="center"/>
        </w:trPr>
        <w:tc>
          <w:tcPr>
            <w:tcW w:w="14520" w:type="dxa"/>
            <w:gridSpan w:val="8"/>
            <w:tcBorders>
              <w:top w:val="nil"/>
              <w:left w:val="nil"/>
              <w:bottom w:val="nil"/>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税款所属期间：   年  月  日至   年  月  日</w:t>
            </w:r>
          </w:p>
        </w:tc>
      </w:tr>
      <w:tr>
        <w:tblPrEx>
          <w:tblLayout w:type="fixed"/>
          <w:tblCellMar>
            <w:top w:w="0" w:type="dxa"/>
            <w:left w:w="108" w:type="dxa"/>
            <w:bottom w:w="0" w:type="dxa"/>
            <w:right w:w="108" w:type="dxa"/>
          </w:tblCellMar>
        </w:tblPrEx>
        <w:trPr>
          <w:cantSplit/>
          <w:trHeight w:val="340" w:hRule="atLeast"/>
          <w:jc w:val="center"/>
        </w:trPr>
        <w:tc>
          <w:tcPr>
            <w:tcW w:w="3360" w:type="dxa"/>
            <w:gridSpan w:val="2"/>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总机构名称（盖章）</w:t>
            </w:r>
            <w:r>
              <w:rPr>
                <w:kern w:val="0"/>
                <w:sz w:val="24"/>
              </w:rPr>
              <w:t xml:space="preserve">:                                                                   </w:t>
            </w:r>
          </w:p>
        </w:tc>
        <w:tc>
          <w:tcPr>
            <w:tcW w:w="4480" w:type="dxa"/>
            <w:gridSpan w:val="2"/>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76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176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3160" w:type="dxa"/>
            <w:gridSpan w:val="2"/>
            <w:tcBorders>
              <w:top w:val="nil"/>
              <w:left w:val="nil"/>
              <w:bottom w:val="nil"/>
              <w:right w:val="nil"/>
            </w:tcBorders>
            <w:shd w:val="clear" w:color="auto" w:fill="auto"/>
            <w:vAlign w:val="center"/>
          </w:tcPr>
          <w:p>
            <w:pPr>
              <w:widowControl/>
              <w:jc w:val="left"/>
              <w:rPr>
                <w:rFonts w:eastAsia="Times New Roman"/>
                <w:kern w:val="0"/>
                <w:sz w:val="20"/>
                <w:szCs w:val="20"/>
              </w:rPr>
            </w:pPr>
          </w:p>
        </w:tc>
      </w:tr>
      <w:tr>
        <w:tblPrEx>
          <w:tblLayout w:type="fixed"/>
          <w:tblCellMar>
            <w:top w:w="0" w:type="dxa"/>
            <w:left w:w="108" w:type="dxa"/>
            <w:bottom w:w="0" w:type="dxa"/>
            <w:right w:w="108" w:type="dxa"/>
          </w:tblCellMar>
        </w:tblPrEx>
        <w:trPr>
          <w:cantSplit/>
          <w:trHeight w:val="340" w:hRule="atLeast"/>
          <w:jc w:val="center"/>
        </w:trPr>
        <w:tc>
          <w:tcPr>
            <w:tcW w:w="6080" w:type="dxa"/>
            <w:gridSpan w:val="3"/>
            <w:tcBorders>
              <w:top w:val="nil"/>
              <w:left w:val="nil"/>
              <w:bottom w:val="single" w:color="auto" w:sz="12"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总</w:t>
            </w:r>
            <w:bookmarkStart w:id="148" w:name="_Hlk499038456"/>
            <w:r>
              <w:rPr>
                <w:rFonts w:hint="eastAsia" w:ascii="宋体" w:hAnsi="宋体" w:cs="宋体"/>
                <w:kern w:val="0"/>
                <w:sz w:val="20"/>
                <w:szCs w:val="20"/>
              </w:rPr>
              <w:t>机构统一社会信用代码（纳税人识别号）</w:t>
            </w:r>
            <w:bookmarkEnd w:id="148"/>
            <w:r>
              <w:rPr>
                <w:rFonts w:hint="eastAsia" w:ascii="宋体" w:hAnsi="宋体" w:cs="宋体"/>
                <w:kern w:val="0"/>
                <w:sz w:val="20"/>
                <w:szCs w:val="20"/>
              </w:rPr>
              <w:t>：</w:t>
            </w:r>
          </w:p>
        </w:tc>
        <w:tc>
          <w:tcPr>
            <w:tcW w:w="5280" w:type="dxa"/>
            <w:gridSpan w:val="3"/>
            <w:tcBorders>
              <w:top w:val="nil"/>
              <w:left w:val="nil"/>
              <w:bottom w:val="single" w:color="auto" w:sz="12"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160" w:type="dxa"/>
            <w:gridSpan w:val="2"/>
            <w:tcBorders>
              <w:top w:val="nil"/>
              <w:left w:val="nil"/>
              <w:bottom w:val="single" w:color="auto" w:sz="12"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金额单位: 元（列至角分）</w:t>
            </w:r>
          </w:p>
        </w:tc>
      </w:tr>
      <w:tr>
        <w:tblPrEx>
          <w:tblLayout w:type="fixed"/>
          <w:tblCellMar>
            <w:top w:w="0" w:type="dxa"/>
            <w:left w:w="108" w:type="dxa"/>
            <w:bottom w:w="0" w:type="dxa"/>
            <w:right w:w="108" w:type="dxa"/>
          </w:tblCellMar>
        </w:tblPrEx>
        <w:trPr>
          <w:cantSplit/>
          <w:trHeight w:val="340" w:hRule="atLeast"/>
          <w:jc w:val="center"/>
        </w:trPr>
        <w:tc>
          <w:tcPr>
            <w:tcW w:w="3360" w:type="dxa"/>
            <w:gridSpan w:val="2"/>
            <w:tcBorders>
              <w:top w:val="single" w:color="auto" w:sz="12" w:space="0"/>
              <w:left w:val="single" w:color="auto" w:sz="12" w:space="0"/>
              <w:bottom w:val="single" w:color="auto" w:sz="6" w:space="0"/>
              <w:right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应纳所得税额</w:t>
            </w:r>
          </w:p>
        </w:tc>
        <w:tc>
          <w:tcPr>
            <w:tcW w:w="2720" w:type="dxa"/>
            <w:tcBorders>
              <w:top w:val="single" w:color="auto" w:sz="12"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总机构分摊所得税额</w:t>
            </w:r>
          </w:p>
        </w:tc>
        <w:tc>
          <w:tcPr>
            <w:tcW w:w="5280" w:type="dxa"/>
            <w:gridSpan w:val="3"/>
            <w:tcBorders>
              <w:top w:val="single" w:color="auto" w:sz="12"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总机构财政集中分配所得税额</w:t>
            </w:r>
          </w:p>
        </w:tc>
        <w:tc>
          <w:tcPr>
            <w:tcW w:w="3160" w:type="dxa"/>
            <w:gridSpan w:val="2"/>
            <w:tcBorders>
              <w:top w:val="single" w:color="auto" w:sz="12" w:space="0"/>
              <w:left w:val="single" w:color="auto" w:sz="6" w:space="0"/>
              <w:bottom w:val="single" w:color="auto" w:sz="6" w:space="0"/>
              <w:right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分支机构分摊所得税额</w:t>
            </w:r>
          </w:p>
        </w:tc>
      </w:tr>
      <w:tr>
        <w:tblPrEx>
          <w:tblLayout w:type="fixed"/>
          <w:tblCellMar>
            <w:top w:w="0" w:type="dxa"/>
            <w:left w:w="108" w:type="dxa"/>
            <w:bottom w:w="0" w:type="dxa"/>
            <w:right w:w="108" w:type="dxa"/>
          </w:tblCellMar>
        </w:tblPrEx>
        <w:trPr>
          <w:cantSplit/>
          <w:trHeight w:val="340" w:hRule="atLeast"/>
          <w:jc w:val="center"/>
        </w:trPr>
        <w:tc>
          <w:tcPr>
            <w:tcW w:w="3360" w:type="dxa"/>
            <w:gridSpan w:val="2"/>
            <w:tcBorders>
              <w:top w:val="single" w:color="auto" w:sz="6" w:space="0"/>
              <w:left w:val="single" w:color="auto" w:sz="12" w:space="0"/>
              <w:bottom w:val="single" w:color="auto" w:sz="12"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20"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5280" w:type="dxa"/>
            <w:gridSpan w:val="3"/>
            <w:tcBorders>
              <w:top w:val="single" w:color="auto" w:sz="6" w:space="0"/>
              <w:left w:val="single" w:color="auto" w:sz="6" w:space="0"/>
              <w:bottom w:val="single" w:color="auto" w:sz="12"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160" w:type="dxa"/>
            <w:gridSpan w:val="2"/>
            <w:tcBorders>
              <w:top w:val="single" w:color="auto" w:sz="6" w:space="0"/>
              <w:left w:val="single" w:color="auto" w:sz="6" w:space="0"/>
              <w:bottom w:val="single" w:color="auto" w:sz="12" w:space="0"/>
              <w:right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restart"/>
            <w:tcBorders>
              <w:top w:val="single" w:color="auto" w:sz="12" w:space="0"/>
              <w:left w:val="single" w:color="auto" w:sz="12" w:space="0"/>
              <w:bottom w:val="single" w:color="auto" w:sz="6" w:space="0"/>
              <w:right w:val="single" w:color="auto" w:sz="6" w:space="0"/>
            </w:tcBorders>
            <w:shd w:val="clear" w:color="auto" w:fill="auto"/>
            <w:textDirection w:val="tbRlV"/>
            <w:vAlign w:val="center"/>
          </w:tcPr>
          <w:p>
            <w:pPr>
              <w:widowControl/>
              <w:jc w:val="center"/>
              <w:rPr>
                <w:rFonts w:ascii="宋体" w:hAnsi="宋体" w:cs="宋体"/>
                <w:kern w:val="0"/>
                <w:sz w:val="20"/>
                <w:szCs w:val="20"/>
              </w:rPr>
            </w:pPr>
            <w:r>
              <w:rPr>
                <w:rFonts w:hint="eastAsia" w:ascii="宋体" w:hAnsi="宋体" w:cs="宋体"/>
                <w:kern w:val="0"/>
                <w:sz w:val="20"/>
                <w:szCs w:val="20"/>
              </w:rPr>
              <w:t>分支机构情况</w:t>
            </w:r>
          </w:p>
        </w:tc>
        <w:tc>
          <w:tcPr>
            <w:tcW w:w="2720"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分支机构统一社会信用代码</w:t>
            </w:r>
            <w:r>
              <w:rPr>
                <w:rFonts w:hint="eastAsia" w:ascii="宋体" w:hAnsi="宋体" w:cs="宋体"/>
                <w:kern w:val="0"/>
                <w:sz w:val="20"/>
                <w:szCs w:val="20"/>
              </w:rPr>
              <w:br w:type="textWrapping"/>
            </w:r>
            <w:r>
              <w:rPr>
                <w:rFonts w:hint="eastAsia" w:ascii="宋体" w:hAnsi="宋体" w:cs="宋体"/>
                <w:kern w:val="0"/>
                <w:sz w:val="20"/>
                <w:szCs w:val="20"/>
              </w:rPr>
              <w:t>（纳税人识别号）</w:t>
            </w:r>
          </w:p>
        </w:tc>
        <w:tc>
          <w:tcPr>
            <w:tcW w:w="2720"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分支机构名称</w:t>
            </w:r>
          </w:p>
        </w:tc>
        <w:tc>
          <w:tcPr>
            <w:tcW w:w="5280" w:type="dxa"/>
            <w:gridSpan w:val="3"/>
            <w:tcBorders>
              <w:top w:val="single" w:color="auto" w:sz="12"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三项因素</w:t>
            </w:r>
          </w:p>
        </w:tc>
        <w:tc>
          <w:tcPr>
            <w:tcW w:w="1060" w:type="dxa"/>
            <w:vMerge w:val="restart"/>
            <w:tcBorders>
              <w:top w:val="single" w:color="auto" w:sz="12"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分配</w:t>
            </w:r>
            <w:r>
              <w:rPr>
                <w:rFonts w:hint="eastAsia" w:ascii="宋体" w:hAnsi="宋体" w:cs="宋体"/>
                <w:kern w:val="0"/>
                <w:sz w:val="20"/>
                <w:szCs w:val="20"/>
              </w:rPr>
              <w:br w:type="textWrapping"/>
            </w:r>
            <w:r>
              <w:rPr>
                <w:rFonts w:hint="eastAsia" w:ascii="宋体" w:hAnsi="宋体" w:cs="宋体"/>
                <w:kern w:val="0"/>
                <w:sz w:val="20"/>
                <w:szCs w:val="20"/>
              </w:rPr>
              <w:t>比例</w:t>
            </w:r>
          </w:p>
        </w:tc>
        <w:tc>
          <w:tcPr>
            <w:tcW w:w="2100" w:type="dxa"/>
            <w:vMerge w:val="restart"/>
            <w:tcBorders>
              <w:top w:val="single" w:color="auto" w:sz="12" w:space="0"/>
              <w:left w:val="single" w:color="auto" w:sz="6" w:space="0"/>
              <w:bottom w:val="single" w:color="auto" w:sz="6" w:space="0"/>
              <w:right w:val="single" w:color="auto" w:sz="12"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分配所得税额</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kern w:val="0"/>
                <w:sz w:val="20"/>
                <w:szCs w:val="20"/>
              </w:rPr>
            </w:pPr>
          </w:p>
        </w:tc>
        <w:tc>
          <w:tcPr>
            <w:tcW w:w="272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kern w:val="0"/>
                <w:sz w:val="20"/>
                <w:szCs w:val="20"/>
              </w:rPr>
            </w:pPr>
          </w:p>
        </w:tc>
        <w:tc>
          <w:tcPr>
            <w:tcW w:w="272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left"/>
              <w:rPr>
                <w:rFonts w:ascii="宋体" w:hAnsi="宋体" w:cs="宋体"/>
                <w:kern w:val="0"/>
                <w:sz w:val="20"/>
                <w:szCs w:val="20"/>
              </w:rPr>
            </w:pP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营业收入</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职工薪酬</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资产总额</w:t>
            </w:r>
          </w:p>
        </w:tc>
        <w:tc>
          <w:tcPr>
            <w:tcW w:w="106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 w:val="20"/>
                <w:szCs w:val="20"/>
              </w:rPr>
            </w:pPr>
          </w:p>
        </w:tc>
        <w:tc>
          <w:tcPr>
            <w:tcW w:w="2100" w:type="dxa"/>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kern w:val="0"/>
                <w:sz w:val="20"/>
                <w:szCs w:val="20"/>
              </w:rPr>
            </w:pP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10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kern w:val="0"/>
                <w:sz w:val="20"/>
                <w:szCs w:val="20"/>
              </w:rPr>
            </w:pP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10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kern w:val="0"/>
                <w:sz w:val="20"/>
                <w:szCs w:val="20"/>
              </w:rPr>
            </w:pP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10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kern w:val="0"/>
                <w:sz w:val="20"/>
                <w:szCs w:val="20"/>
              </w:rPr>
            </w:pP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10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kern w:val="0"/>
                <w:sz w:val="20"/>
                <w:szCs w:val="20"/>
              </w:rPr>
            </w:pP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10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kern w:val="0"/>
                <w:sz w:val="20"/>
                <w:szCs w:val="20"/>
              </w:rPr>
            </w:pP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10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kern w:val="0"/>
                <w:sz w:val="20"/>
                <w:szCs w:val="20"/>
              </w:rPr>
            </w:pP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10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kern w:val="0"/>
                <w:sz w:val="20"/>
                <w:szCs w:val="20"/>
              </w:rPr>
            </w:pP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10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kern w:val="0"/>
                <w:sz w:val="20"/>
                <w:szCs w:val="20"/>
              </w:rPr>
            </w:pP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10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kern w:val="0"/>
                <w:sz w:val="20"/>
                <w:szCs w:val="20"/>
              </w:rPr>
            </w:pP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10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kern w:val="0"/>
                <w:sz w:val="20"/>
                <w:szCs w:val="20"/>
              </w:rPr>
            </w:pP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10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kern w:val="0"/>
                <w:sz w:val="20"/>
                <w:szCs w:val="20"/>
              </w:rPr>
            </w:pP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10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kern w:val="0"/>
                <w:sz w:val="20"/>
                <w:szCs w:val="20"/>
              </w:rPr>
            </w:pP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10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left"/>
              <w:rPr>
                <w:rFonts w:ascii="宋体" w:hAnsi="宋体" w:cs="宋体"/>
                <w:kern w:val="0"/>
                <w:sz w:val="20"/>
                <w:szCs w:val="20"/>
              </w:rPr>
            </w:pP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10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12" w:space="0"/>
              <w:right w:val="single" w:color="auto" w:sz="6" w:space="0"/>
            </w:tcBorders>
            <w:shd w:val="clear" w:color="auto" w:fill="auto"/>
            <w:vAlign w:val="center"/>
          </w:tcPr>
          <w:p>
            <w:pPr>
              <w:widowControl/>
              <w:jc w:val="left"/>
              <w:rPr>
                <w:rFonts w:ascii="宋体" w:hAnsi="宋体" w:cs="宋体"/>
                <w:kern w:val="0"/>
                <w:sz w:val="20"/>
                <w:szCs w:val="20"/>
              </w:rPr>
            </w:pPr>
          </w:p>
        </w:tc>
        <w:tc>
          <w:tcPr>
            <w:tcW w:w="5440" w:type="dxa"/>
            <w:gridSpan w:val="2"/>
            <w:tcBorders>
              <w:top w:val="single" w:color="auto" w:sz="6" w:space="0"/>
              <w:left w:val="single" w:color="auto" w:sz="6" w:space="0"/>
              <w:bottom w:val="single" w:color="auto" w:sz="12" w:space="0"/>
              <w:right w:val="single" w:color="auto" w:sz="6"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760"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060"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100" w:type="dxa"/>
            <w:tcBorders>
              <w:top w:val="single" w:color="auto" w:sz="6" w:space="0"/>
              <w:left w:val="single" w:color="auto" w:sz="6" w:space="0"/>
              <w:bottom w:val="single" w:color="auto" w:sz="12" w:space="0"/>
              <w:right w:val="single" w:color="auto" w:sz="12"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bl>
    <w:p>
      <w:pPr/>
    </w:p>
    <w:p>
      <w:pPr/>
    </w:p>
    <w:p>
      <w:pPr>
        <w:sectPr>
          <w:pgSz w:w="16838" w:h="11906" w:orient="landscape"/>
          <w:pgMar w:top="1418" w:right="1985" w:bottom="1418" w:left="1928" w:header="851" w:footer="992" w:gutter="113"/>
          <w:cols w:space="425" w:num="1"/>
          <w:titlePg/>
          <w:docGrid w:linePitch="312" w:charSpace="0"/>
        </w:sectPr>
      </w:pPr>
    </w:p>
    <w:p>
      <w:pPr>
        <w:pStyle w:val="8"/>
        <w:spacing w:before="240" w:after="360"/>
      </w:pPr>
      <w:bookmarkStart w:id="149" w:name="_Toc499456626"/>
      <w:r>
        <w:rPr>
          <w:rFonts w:hint="eastAsia"/>
        </w:rPr>
        <w:t>A109010</w:t>
      </w:r>
      <w:r>
        <w:tab/>
      </w:r>
      <w:r>
        <w:rPr>
          <w:rFonts w:hint="eastAsia"/>
        </w:rPr>
        <w:t>《企业所得税汇总纳税分支机构所得税分配表》填报说明</w:t>
      </w:r>
      <w:bookmarkEnd w:id="149"/>
    </w:p>
    <w:p>
      <w:pPr>
        <w:pStyle w:val="9"/>
        <w:rPr>
          <w:color w:val="000000"/>
        </w:rPr>
      </w:pPr>
      <w:r>
        <w:rPr>
          <w:rFonts w:hint="eastAsia"/>
          <w:color w:val="000000"/>
        </w:rPr>
        <w:t>本表适用于跨地区经营汇总纳税的总机构填报。纳税人应根据税法、《财政部 国家税务总局 中国人民银行关于印发〈跨省市总分机构企业所得税分配及预算管理办法〉的通知》（财预〔2012〕40号）、《国家税务总局关于印发〈跨地区经营汇总纳税企业所得税征收管理办法〉的公告》（国家税务总局公告2012年第57号）规定计算总分机构每一纳税年度应缴的企业所得税额、总机构和分支机构应分摊的企业所得税额。对于仅在同一省（自治区、直辖市和计划单列市）内设立不具有法人资格分支机构的企业，根据本省（自治区、直辖市和计划单列市）汇总纳税分配办法在总机构和各分支机构分配企业所得税额的，填报本表。</w:t>
      </w:r>
    </w:p>
    <w:p>
      <w:pPr>
        <w:pStyle w:val="11"/>
        <w:ind w:firstLine="482"/>
      </w:pPr>
      <w:r>
        <w:rPr>
          <w:rFonts w:hint="eastAsia"/>
        </w:rPr>
        <w:t>一、具体项目填报说明</w:t>
      </w:r>
    </w:p>
    <w:p>
      <w:pPr>
        <w:pStyle w:val="9"/>
      </w:pPr>
      <w:r>
        <w:rPr>
          <w:rFonts w:hint="eastAsia"/>
        </w:rPr>
        <w:t>1.“税款所属时期”：填报公历1月1日至12月31日。</w:t>
      </w:r>
    </w:p>
    <w:p>
      <w:pPr>
        <w:pStyle w:val="9"/>
      </w:pPr>
      <w:r>
        <w:rPr>
          <w:rFonts w:hint="eastAsia"/>
        </w:rPr>
        <w:t>2.“总机构名称”“分支机构名称”：</w:t>
      </w:r>
      <w:r>
        <w:rPr>
          <w:rFonts w:hint="eastAsia"/>
          <w:color w:val="000000"/>
        </w:rPr>
        <w:t>填报营业执照、税务登记证等证件载明的纳税人名称。</w:t>
      </w:r>
    </w:p>
    <w:p>
      <w:pPr>
        <w:pStyle w:val="9"/>
      </w:pPr>
      <w:r>
        <w:t>3</w:t>
      </w:r>
      <w:r>
        <w:rPr>
          <w:rFonts w:hint="eastAsia"/>
        </w:rPr>
        <w:t>.“总机构统一社会信用代码（纳税人识别号）”“分支机构统一社会信用代码（纳税人识别号）”：填报工商等部门核发的纳税人统一社会信用代码。未取得统一社会信用代码的，填报税务机关核发的纳税人识别号。</w:t>
      </w:r>
    </w:p>
    <w:p>
      <w:pPr>
        <w:pStyle w:val="9"/>
      </w:pPr>
      <w:r>
        <w:t>4</w:t>
      </w:r>
      <w:r>
        <w:rPr>
          <w:rFonts w:hint="eastAsia"/>
        </w:rPr>
        <w:t>.“应纳所得税额”：填报企业汇总计算的、且不包括境外所得应纳所得税额的本年应补（退）的所得税额。数据来源于《跨地区经营汇总纳税企业年度分摊企业所得税明细表》（A109000）第11行“本年度应分摊的应补（退）所得税额”。</w:t>
      </w:r>
    </w:p>
    <w:p>
      <w:pPr>
        <w:pStyle w:val="9"/>
      </w:pPr>
      <w:r>
        <w:t>5</w:t>
      </w:r>
      <w:r>
        <w:rPr>
          <w:rFonts w:hint="eastAsia"/>
        </w:rPr>
        <w:t>.“总机构分摊所得税额”：对于跨省（自治区、直辖市、计划单列市）经营汇总纳税企业，填报企业本年应补（退）所得税额×25%后的金额；对于同一省（自治区、直辖市、计划单列市）内跨地区经营汇总纳税企业，填报企业本年应补（退）所得税额×规定比例后的金额。</w:t>
      </w:r>
    </w:p>
    <w:p>
      <w:pPr>
        <w:pStyle w:val="9"/>
      </w:pPr>
      <w:r>
        <w:t>6</w:t>
      </w:r>
      <w:r>
        <w:rPr>
          <w:rFonts w:hint="eastAsia"/>
        </w:rPr>
        <w:t>.“总机构财政集中分配所得税额”：对于跨省（自治区、直辖市、计划单列市）经营汇总纳税企业，填报企业本年应补（退）所得税额×25%后的金额；对于同一省（自治区、直辖市、计划单列市）内跨地区经营汇总纳税企业，填报企业本年应补（退）所得税额×规定比例后的金额。</w:t>
      </w:r>
    </w:p>
    <w:p>
      <w:pPr>
        <w:pStyle w:val="9"/>
      </w:pPr>
      <w:r>
        <w:t>7</w:t>
      </w:r>
      <w:r>
        <w:rPr>
          <w:rFonts w:hint="eastAsia"/>
        </w:rPr>
        <w:t>.“分支机构分摊所得税额”：对于跨省（自治区、直辖市、计划单列市）经营汇总纳税企业，填报企业本年应补（退）的所得税额×50%后的金额；对于同一省（自治区、直辖市、计划单列市）内跨地区经营汇总纳税企业，填报企业本年应补（退）所得税额×规定比例后的金额。</w:t>
      </w:r>
    </w:p>
    <w:p>
      <w:pPr>
        <w:pStyle w:val="9"/>
      </w:pPr>
      <w:r>
        <w:t>8</w:t>
      </w:r>
      <w:r>
        <w:rPr>
          <w:rFonts w:hint="eastAsia"/>
        </w:rPr>
        <w:t>.“营业收入”：填报上一年度各分支机构销售商品、提供劳务、让渡资产使用权等日常经营活动实现的全部收入的合计额。</w:t>
      </w:r>
    </w:p>
    <w:p>
      <w:pPr>
        <w:pStyle w:val="9"/>
      </w:pPr>
      <w:r>
        <w:t>9</w:t>
      </w:r>
      <w:r>
        <w:rPr>
          <w:rFonts w:hint="eastAsia"/>
        </w:rPr>
        <w:t>.“职工薪酬”：填报上一年度各分支机构为获得职工提供的服务而给予各种形式的报酬以及其他相关支出的合计额。</w:t>
      </w:r>
    </w:p>
    <w:p>
      <w:pPr>
        <w:pStyle w:val="9"/>
      </w:pPr>
      <w:r>
        <w:t>10</w:t>
      </w:r>
      <w:r>
        <w:rPr>
          <w:rFonts w:hint="eastAsia"/>
        </w:rPr>
        <w:t>.“资产总额”：填报上一年度各分支机构在经营活动中实际使用的应归属于该分支机构的资产合计额。</w:t>
      </w:r>
    </w:p>
    <w:p>
      <w:pPr>
        <w:pStyle w:val="9"/>
      </w:pPr>
      <w:r>
        <w:rPr>
          <w:rFonts w:hint="eastAsia"/>
        </w:rPr>
        <w:t>1</w:t>
      </w:r>
      <w:r>
        <w:t>1</w:t>
      </w:r>
      <w:r>
        <w:rPr>
          <w:rFonts w:hint="eastAsia"/>
        </w:rPr>
        <w:t>.“分配比例”：填报经总机构所在地主管税务机关审核确认的各分支机构分配比例，分配比例应保留小数点后十位。</w:t>
      </w:r>
    </w:p>
    <w:p>
      <w:pPr>
        <w:pStyle w:val="9"/>
      </w:pPr>
      <w:r>
        <w:rPr>
          <w:rFonts w:hint="eastAsia"/>
        </w:rPr>
        <w:t>1</w:t>
      </w:r>
      <w:r>
        <w:t>2</w:t>
      </w:r>
      <w:r>
        <w:rPr>
          <w:rFonts w:hint="eastAsia"/>
        </w:rPr>
        <w:t>.“分配所得税额”：填报分支机构按照分支机构分摊所得税额乘以相应的分配比例的金额。</w:t>
      </w:r>
    </w:p>
    <w:p>
      <w:pPr>
        <w:pStyle w:val="9"/>
      </w:pPr>
      <w:r>
        <w:rPr>
          <w:rFonts w:hint="eastAsia"/>
        </w:rPr>
        <w:t>1</w:t>
      </w:r>
      <w:r>
        <w:t>3</w:t>
      </w:r>
      <w:r>
        <w:rPr>
          <w:rFonts w:hint="eastAsia"/>
        </w:rPr>
        <w:t>.“合计”：填报上一年度各分支机构的营业收入总额、职工薪酬总额和资产总额三项因素的合计金额及本年各分支机构分配比例和分配税额的合计金额。</w:t>
      </w:r>
    </w:p>
    <w:p>
      <w:pPr>
        <w:pStyle w:val="11"/>
        <w:ind w:firstLine="482"/>
      </w:pPr>
      <w:r>
        <w:rPr>
          <w:rFonts w:hint="eastAsia"/>
        </w:rPr>
        <w:t>二、表内、表间关系</w:t>
      </w:r>
    </w:p>
    <w:p>
      <w:pPr>
        <w:pStyle w:val="12"/>
      </w:pPr>
      <w:r>
        <w:rPr>
          <w:rFonts w:hint="eastAsia"/>
        </w:rPr>
        <w:t>（一）表内关系</w:t>
      </w:r>
    </w:p>
    <w:p>
      <w:pPr>
        <w:pStyle w:val="9"/>
        <w:rPr>
          <w:color w:val="000000"/>
        </w:rPr>
      </w:pPr>
      <w:r>
        <w:rPr>
          <w:rFonts w:hint="eastAsia"/>
          <w:color w:val="000000"/>
        </w:rPr>
        <w:t>1.总机构分摊所得税额＝应纳所得税额×总机构分摊比例。</w:t>
      </w:r>
    </w:p>
    <w:p>
      <w:pPr>
        <w:pStyle w:val="9"/>
        <w:rPr>
          <w:color w:val="000000"/>
        </w:rPr>
      </w:pPr>
      <w:r>
        <w:rPr>
          <w:rFonts w:hint="eastAsia"/>
          <w:color w:val="000000"/>
        </w:rPr>
        <w:t>2.总机构财政集中分配所得税额＝应纳所得税额×财政集中分配比例。</w:t>
      </w:r>
    </w:p>
    <w:p>
      <w:pPr>
        <w:pStyle w:val="9"/>
        <w:rPr>
          <w:color w:val="000000"/>
        </w:rPr>
      </w:pPr>
      <w:r>
        <w:rPr>
          <w:rFonts w:hint="eastAsia"/>
          <w:color w:val="000000"/>
        </w:rPr>
        <w:t>3.分支机构分摊所得税额＝应纳所得税额×分支机构分摊比例。</w:t>
      </w:r>
    </w:p>
    <w:p>
      <w:pPr>
        <w:pStyle w:val="9"/>
        <w:rPr>
          <w:color w:val="000000"/>
        </w:rPr>
      </w:pPr>
      <w:r>
        <w:rPr>
          <w:rFonts w:hint="eastAsia"/>
          <w:color w:val="000000"/>
        </w:rPr>
        <w:t>4.分支机构分配比例＝（该分支机构营业收入÷分支机构营业收入合计）×35%＋（该分支机构职工薪酬÷分支机构职工薪酬合计）×35%＋（该分支机构资产总额÷分支机构资产总额合计）×30%。</w:t>
      </w:r>
    </w:p>
    <w:p>
      <w:pPr>
        <w:pStyle w:val="9"/>
        <w:rPr>
          <w:color w:val="000000"/>
        </w:rPr>
      </w:pPr>
      <w:r>
        <w:rPr>
          <w:rFonts w:hint="eastAsia"/>
          <w:color w:val="000000"/>
        </w:rPr>
        <w:t>5.分支机构分配所得税额＝分支机构分摊所得税额×该分支机构分配比例。</w:t>
      </w:r>
    </w:p>
    <w:p>
      <w:pPr>
        <w:pStyle w:val="12"/>
      </w:pPr>
      <w:r>
        <w:rPr>
          <w:rFonts w:hint="eastAsia"/>
        </w:rPr>
        <w:t>（二）表间关系</w:t>
      </w:r>
    </w:p>
    <w:p>
      <w:pPr>
        <w:pStyle w:val="9"/>
        <w:rPr>
          <w:color w:val="000000"/>
        </w:rPr>
      </w:pPr>
      <w:r>
        <w:rPr>
          <w:rFonts w:hint="eastAsia"/>
          <w:color w:val="000000"/>
        </w:rPr>
        <w:t>应纳所得税额＝表A109000第11行。</w:t>
      </w:r>
    </w:p>
    <w:p>
      <w:pPr/>
      <w:bookmarkStart w:id="150" w:name="_GoBack"/>
      <w:bookmarkEnd w:id="150"/>
    </w:p>
    <w:sectPr>
      <w:headerReference r:id="rId13" w:type="even"/>
      <w:pgSz w:w="11906" w:h="16838"/>
      <w:pgMar w:top="1985" w:right="1418" w:bottom="1928" w:left="1418" w:header="851" w:footer="992" w:gutter="113"/>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Heiti SC Light">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等线 Light">
    <w:altName w:val="微软雅黑"/>
    <w:panose1 w:val="02010600030101010101"/>
    <w:charset w:val="86"/>
    <w:family w:val="auto"/>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Wingdings 2">
    <w:panose1 w:val="05020102010507070707"/>
    <w:charset w:val="02"/>
    <w:family w:val="moder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Arial" w:hAnsi="Arial" w:cs="Arial"/>
        <w:sz w:val="21"/>
        <w:szCs w:val="21"/>
      </w:rPr>
    </w:pPr>
    <w:r>
      <w:rPr>
        <w:rFonts w:ascii="Arial" w:hAnsi="Arial" w:eastAsia="等线 Light" w:cs="Arial"/>
        <w:kern w:val="0"/>
        <w:sz w:val="21"/>
        <w:szCs w:val="21"/>
        <w:lang w:val="zh-CN"/>
      </w:rPr>
      <w:t xml:space="preserve">- </w:t>
    </w:r>
    <w:r>
      <w:rPr>
        <w:rFonts w:ascii="Arial" w:hAnsi="Arial" w:eastAsia="等线 Light" w:cs="Arial"/>
        <w:kern w:val="0"/>
        <w:sz w:val="21"/>
        <w:szCs w:val="21"/>
        <w:lang w:val="zh-CN"/>
      </w:rPr>
      <w:fldChar w:fldCharType="begin"/>
    </w:r>
    <w:r>
      <w:rPr>
        <w:rFonts w:ascii="Arial" w:hAnsi="Arial" w:eastAsia="等线 Light" w:cs="Arial"/>
        <w:kern w:val="0"/>
        <w:sz w:val="21"/>
        <w:szCs w:val="21"/>
        <w:lang w:val="zh-CN"/>
      </w:rPr>
      <w:instrText xml:space="preserve"> PAGE </w:instrText>
    </w:r>
    <w:r>
      <w:rPr>
        <w:rFonts w:ascii="Arial" w:hAnsi="Arial" w:eastAsia="等线 Light" w:cs="Arial"/>
        <w:kern w:val="0"/>
        <w:sz w:val="21"/>
        <w:szCs w:val="21"/>
        <w:lang w:val="zh-CN"/>
      </w:rPr>
      <w:fldChar w:fldCharType="separate"/>
    </w:r>
    <w:r>
      <w:rPr>
        <w:rFonts w:ascii="Arial" w:hAnsi="Arial" w:eastAsia="等线 Light" w:cs="Arial"/>
        <w:kern w:val="0"/>
        <w:sz w:val="21"/>
        <w:szCs w:val="21"/>
        <w:lang w:val="zh-CN"/>
      </w:rPr>
      <w:t>III</w:t>
    </w:r>
    <w:r>
      <w:rPr>
        <w:rFonts w:ascii="Arial" w:hAnsi="Arial" w:eastAsia="等线 Light" w:cs="Arial"/>
        <w:kern w:val="0"/>
        <w:sz w:val="21"/>
        <w:szCs w:val="21"/>
        <w:lang w:val="zh-CN"/>
      </w:rPr>
      <w:fldChar w:fldCharType="end"/>
    </w:r>
    <w:r>
      <w:rPr>
        <w:rFonts w:ascii="Arial" w:hAnsi="Arial" w:eastAsia="等线 Light" w:cs="Arial"/>
        <w:kern w:val="0"/>
        <w:sz w:val="21"/>
        <w:szCs w:val="21"/>
        <w:lang w:val="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Arial" w:hAnsi="Arial" w:eastAsia="等线 Light" w:cs="Arial"/>
        <w:sz w:val="21"/>
        <w:szCs w:val="21"/>
        <w:lang w:val="zh-CN"/>
      </w:rPr>
    </w:pPr>
    <w:r>
      <w:rPr>
        <w:rFonts w:ascii="Arial" w:hAnsi="Arial" w:eastAsia="等线 Light" w:cs="Arial"/>
        <w:kern w:val="0"/>
        <w:sz w:val="21"/>
        <w:szCs w:val="21"/>
        <w:lang w:val="zh-CN"/>
      </w:rPr>
      <w:t xml:space="preserve">- </w:t>
    </w:r>
    <w:r>
      <w:rPr>
        <w:rFonts w:ascii="Arial" w:hAnsi="Arial" w:eastAsia="等线 Light" w:cs="Arial"/>
        <w:kern w:val="0"/>
        <w:sz w:val="21"/>
        <w:szCs w:val="21"/>
        <w:lang w:val="zh-CN"/>
      </w:rPr>
      <w:fldChar w:fldCharType="begin"/>
    </w:r>
    <w:r>
      <w:rPr>
        <w:rFonts w:ascii="Arial" w:hAnsi="Arial" w:eastAsia="等线 Light" w:cs="Arial"/>
        <w:kern w:val="0"/>
        <w:sz w:val="21"/>
        <w:szCs w:val="21"/>
        <w:lang w:val="zh-CN"/>
      </w:rPr>
      <w:instrText xml:space="preserve"> PAGE </w:instrText>
    </w:r>
    <w:r>
      <w:rPr>
        <w:rFonts w:ascii="Arial" w:hAnsi="Arial" w:eastAsia="等线 Light" w:cs="Arial"/>
        <w:kern w:val="0"/>
        <w:sz w:val="21"/>
        <w:szCs w:val="21"/>
        <w:lang w:val="zh-CN"/>
      </w:rPr>
      <w:fldChar w:fldCharType="separate"/>
    </w:r>
    <w:r>
      <w:rPr>
        <w:rFonts w:ascii="Arial" w:hAnsi="Arial" w:eastAsia="等线 Light" w:cs="Arial"/>
        <w:kern w:val="0"/>
        <w:sz w:val="21"/>
        <w:szCs w:val="21"/>
        <w:lang w:val="zh-CN"/>
      </w:rPr>
      <w:t>182</w:t>
    </w:r>
    <w:r>
      <w:rPr>
        <w:rFonts w:ascii="Arial" w:hAnsi="Arial" w:eastAsia="等线 Light" w:cs="Arial"/>
        <w:kern w:val="0"/>
        <w:sz w:val="21"/>
        <w:szCs w:val="21"/>
        <w:lang w:val="zh-CN"/>
      </w:rPr>
      <w:fldChar w:fldCharType="end"/>
    </w:r>
    <w:r>
      <w:rPr>
        <w:rFonts w:ascii="Arial" w:hAnsi="Arial" w:eastAsia="等线 Light" w:cs="Arial"/>
        <w:kern w:val="0"/>
        <w:sz w:val="21"/>
        <w:szCs w:val="21"/>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Arial" w:hAnsi="Arial" w:cs="Arial"/>
        <w:sz w:val="21"/>
        <w:szCs w:val="21"/>
      </w:rPr>
    </w:pPr>
    <w:r>
      <w:rPr>
        <w:rFonts w:ascii="Arial" w:hAnsi="Arial" w:eastAsia="等线 Light" w:cs="Arial"/>
        <w:kern w:val="0"/>
        <w:sz w:val="21"/>
        <w:szCs w:val="21"/>
        <w:lang w:val="zh-CN"/>
      </w:rPr>
      <w:t xml:space="preserve">- </w:t>
    </w:r>
    <w:r>
      <w:rPr>
        <w:rFonts w:ascii="Arial" w:hAnsi="Arial" w:eastAsia="等线 Light" w:cs="Arial"/>
        <w:kern w:val="0"/>
        <w:sz w:val="21"/>
        <w:szCs w:val="21"/>
        <w:lang w:val="zh-CN"/>
      </w:rPr>
      <w:fldChar w:fldCharType="begin"/>
    </w:r>
    <w:r>
      <w:rPr>
        <w:rFonts w:ascii="Arial" w:hAnsi="Arial" w:eastAsia="等线 Light" w:cs="Arial"/>
        <w:kern w:val="0"/>
        <w:sz w:val="21"/>
        <w:szCs w:val="21"/>
        <w:lang w:val="zh-CN"/>
      </w:rPr>
      <w:instrText xml:space="preserve"> PAGE </w:instrText>
    </w:r>
    <w:r>
      <w:rPr>
        <w:rFonts w:ascii="Arial" w:hAnsi="Arial" w:eastAsia="等线 Light" w:cs="Arial"/>
        <w:kern w:val="0"/>
        <w:sz w:val="21"/>
        <w:szCs w:val="21"/>
        <w:lang w:val="zh-CN"/>
      </w:rPr>
      <w:fldChar w:fldCharType="separate"/>
    </w:r>
    <w:r>
      <w:rPr>
        <w:rFonts w:ascii="Arial" w:hAnsi="Arial" w:eastAsia="等线 Light" w:cs="Arial"/>
        <w:kern w:val="0"/>
        <w:sz w:val="21"/>
        <w:szCs w:val="21"/>
        <w:lang w:val="zh-CN"/>
      </w:rPr>
      <w:t>II</w:t>
    </w:r>
    <w:r>
      <w:rPr>
        <w:rFonts w:ascii="Arial" w:hAnsi="Arial" w:eastAsia="等线 Light" w:cs="Arial"/>
        <w:kern w:val="0"/>
        <w:sz w:val="21"/>
        <w:szCs w:val="21"/>
        <w:lang w:val="zh-CN"/>
      </w:rPr>
      <w:fldChar w:fldCharType="end"/>
    </w:r>
    <w:r>
      <w:rPr>
        <w:rFonts w:ascii="Arial" w:hAnsi="Arial" w:eastAsia="等线 Light" w:cs="Arial"/>
        <w:kern w:val="0"/>
        <w:sz w:val="21"/>
        <w:szCs w:val="21"/>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Arial" w:hAnsi="Arial" w:eastAsia="等线 Light" w:cs="Arial"/>
        <w:sz w:val="21"/>
        <w:szCs w:val="21"/>
        <w:lang w:val="zh-CN"/>
      </w:rPr>
    </w:pPr>
    <w:r>
      <w:rPr>
        <w:rFonts w:ascii="Arial" w:hAnsi="Arial" w:eastAsia="等线 Light" w:cs="Arial"/>
        <w:kern w:val="0"/>
        <w:sz w:val="21"/>
        <w:szCs w:val="21"/>
        <w:lang w:val="zh-CN"/>
      </w:rPr>
      <w:t xml:space="preserve">- </w:t>
    </w:r>
    <w:r>
      <w:rPr>
        <w:rFonts w:ascii="Arial" w:hAnsi="Arial" w:eastAsia="等线 Light" w:cs="Arial"/>
        <w:kern w:val="0"/>
        <w:sz w:val="21"/>
        <w:szCs w:val="21"/>
        <w:lang w:val="zh-CN"/>
      </w:rPr>
      <w:fldChar w:fldCharType="begin"/>
    </w:r>
    <w:r>
      <w:rPr>
        <w:rFonts w:ascii="Arial" w:hAnsi="Arial" w:eastAsia="等线 Light" w:cs="Arial"/>
        <w:kern w:val="0"/>
        <w:sz w:val="21"/>
        <w:szCs w:val="21"/>
        <w:lang w:val="zh-CN"/>
      </w:rPr>
      <w:instrText xml:space="preserve"> PAGE </w:instrText>
    </w:r>
    <w:r>
      <w:rPr>
        <w:rFonts w:ascii="Arial" w:hAnsi="Arial" w:eastAsia="等线 Light" w:cs="Arial"/>
        <w:kern w:val="0"/>
        <w:sz w:val="21"/>
        <w:szCs w:val="21"/>
        <w:lang w:val="zh-CN"/>
      </w:rPr>
      <w:fldChar w:fldCharType="separate"/>
    </w:r>
    <w:r>
      <w:rPr>
        <w:rFonts w:ascii="Arial" w:hAnsi="Arial" w:eastAsia="等线 Light" w:cs="Arial"/>
        <w:kern w:val="0"/>
        <w:sz w:val="21"/>
        <w:szCs w:val="21"/>
        <w:lang w:val="zh-CN"/>
      </w:rPr>
      <w:t>1</w:t>
    </w:r>
    <w:r>
      <w:rPr>
        <w:rFonts w:ascii="Arial" w:hAnsi="Arial" w:eastAsia="等线 Light" w:cs="Arial"/>
        <w:kern w:val="0"/>
        <w:sz w:val="21"/>
        <w:szCs w:val="21"/>
        <w:lang w:val="zh-CN"/>
      </w:rPr>
      <w:fldChar w:fldCharType="end"/>
    </w:r>
    <w:r>
      <w:rPr>
        <w:rFonts w:ascii="Arial" w:hAnsi="Arial" w:eastAsia="等线 Light" w:cs="Arial"/>
        <w:kern w:val="0"/>
        <w:sz w:val="21"/>
        <w:szCs w:val="21"/>
        <w:lang w:val="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Arial" w:hAnsi="Arial" w:eastAsia="等线 Light" w:cs="Arial"/>
        <w:sz w:val="21"/>
        <w:szCs w:val="21"/>
        <w:lang w:val="zh-CN"/>
      </w:rPr>
    </w:pPr>
    <w:r>
      <w:rPr>
        <w:rFonts w:ascii="Arial" w:hAnsi="Arial" w:eastAsia="等线 Light" w:cs="Arial"/>
        <w:kern w:val="0"/>
        <w:sz w:val="21"/>
        <w:szCs w:val="21"/>
        <w:lang w:val="zh-CN"/>
      </w:rPr>
      <w:t xml:space="preserve">- </w:t>
    </w:r>
    <w:r>
      <w:rPr>
        <w:rFonts w:ascii="Arial" w:hAnsi="Arial" w:eastAsia="等线 Light" w:cs="Arial"/>
        <w:kern w:val="0"/>
        <w:sz w:val="21"/>
        <w:szCs w:val="21"/>
        <w:lang w:val="zh-CN"/>
      </w:rPr>
      <w:fldChar w:fldCharType="begin"/>
    </w:r>
    <w:r>
      <w:rPr>
        <w:rFonts w:ascii="Arial" w:hAnsi="Arial" w:eastAsia="等线 Light" w:cs="Arial"/>
        <w:kern w:val="0"/>
        <w:sz w:val="21"/>
        <w:szCs w:val="21"/>
        <w:lang w:val="zh-CN"/>
      </w:rPr>
      <w:instrText xml:space="preserve"> PAGE </w:instrText>
    </w:r>
    <w:r>
      <w:rPr>
        <w:rFonts w:ascii="Arial" w:hAnsi="Arial" w:eastAsia="等线 Light" w:cs="Arial"/>
        <w:kern w:val="0"/>
        <w:sz w:val="21"/>
        <w:szCs w:val="21"/>
        <w:lang w:val="zh-CN"/>
      </w:rPr>
      <w:fldChar w:fldCharType="separate"/>
    </w:r>
    <w:r>
      <w:rPr>
        <w:rFonts w:ascii="Arial" w:hAnsi="Arial" w:eastAsia="等线 Light" w:cs="Arial"/>
        <w:kern w:val="0"/>
        <w:sz w:val="21"/>
        <w:szCs w:val="21"/>
        <w:lang w:val="zh-CN"/>
      </w:rPr>
      <w:t>13</w:t>
    </w:r>
    <w:r>
      <w:rPr>
        <w:rFonts w:ascii="Arial" w:hAnsi="Arial" w:eastAsia="等线 Light" w:cs="Arial"/>
        <w:kern w:val="0"/>
        <w:sz w:val="21"/>
        <w:szCs w:val="21"/>
        <w:lang w:val="zh-CN"/>
      </w:rPr>
      <w:fldChar w:fldCharType="end"/>
    </w:r>
    <w:r>
      <w:rPr>
        <w:rFonts w:ascii="Arial" w:hAnsi="Arial" w:eastAsia="等线 Light" w:cs="Arial"/>
        <w:kern w:val="0"/>
        <w:sz w:val="21"/>
        <w:szCs w:val="21"/>
        <w:lang w:val="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Arial" w:hAnsi="Arial" w:eastAsia="等线 Light" w:cs="Arial"/>
        <w:sz w:val="21"/>
        <w:szCs w:val="21"/>
        <w:lang w:val="zh-CN"/>
      </w:rPr>
    </w:pPr>
    <w:r>
      <w:rPr>
        <w:rFonts w:ascii="Arial" w:hAnsi="Arial" w:eastAsia="等线 Light" w:cs="Arial"/>
        <w:kern w:val="0"/>
        <w:sz w:val="21"/>
        <w:szCs w:val="21"/>
        <w:lang w:val="zh-CN"/>
      </w:rPr>
      <w:t xml:space="preserve">- </w:t>
    </w:r>
    <w:r>
      <w:rPr>
        <w:rFonts w:ascii="Arial" w:hAnsi="Arial" w:eastAsia="等线 Light" w:cs="Arial"/>
        <w:kern w:val="0"/>
        <w:sz w:val="21"/>
        <w:szCs w:val="21"/>
        <w:lang w:val="zh-CN"/>
      </w:rPr>
      <w:fldChar w:fldCharType="begin"/>
    </w:r>
    <w:r>
      <w:rPr>
        <w:rFonts w:ascii="Arial" w:hAnsi="Arial" w:eastAsia="等线 Light" w:cs="Arial"/>
        <w:kern w:val="0"/>
        <w:sz w:val="21"/>
        <w:szCs w:val="21"/>
        <w:lang w:val="zh-CN"/>
      </w:rPr>
      <w:instrText xml:space="preserve"> PAGE </w:instrText>
    </w:r>
    <w:r>
      <w:rPr>
        <w:rFonts w:ascii="Arial" w:hAnsi="Arial" w:eastAsia="等线 Light" w:cs="Arial"/>
        <w:kern w:val="0"/>
        <w:sz w:val="21"/>
        <w:szCs w:val="21"/>
        <w:lang w:val="zh-CN"/>
      </w:rPr>
      <w:fldChar w:fldCharType="separate"/>
    </w:r>
    <w:r>
      <w:rPr>
        <w:rFonts w:ascii="Arial" w:hAnsi="Arial" w:eastAsia="等线 Light" w:cs="Arial"/>
        <w:kern w:val="0"/>
        <w:sz w:val="21"/>
        <w:szCs w:val="21"/>
        <w:lang w:val="zh-CN"/>
      </w:rPr>
      <w:t>14</w:t>
    </w:r>
    <w:r>
      <w:rPr>
        <w:rFonts w:ascii="Arial" w:hAnsi="Arial" w:eastAsia="等线 Light" w:cs="Arial"/>
        <w:kern w:val="0"/>
        <w:sz w:val="21"/>
        <w:szCs w:val="21"/>
        <w:lang w:val="zh-CN"/>
      </w:rPr>
      <w:fldChar w:fldCharType="end"/>
    </w:r>
    <w:r>
      <w:rPr>
        <w:rFonts w:ascii="Arial" w:hAnsi="Arial" w:eastAsia="等线 Light" w:cs="Arial"/>
        <w:kern w:val="0"/>
        <w:sz w:val="21"/>
        <w:szCs w:val="21"/>
        <w:lang w:val="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Arial" w:hAnsi="Arial" w:eastAsia="等线 Light" w:cs="Arial"/>
        <w:sz w:val="21"/>
        <w:szCs w:val="21"/>
        <w:lang w:val="zh-CN"/>
      </w:rPr>
    </w:pPr>
    <w:r>
      <w:rPr>
        <w:rFonts w:ascii="Arial" w:hAnsi="Arial" w:eastAsia="等线 Light" w:cs="Arial"/>
        <w:kern w:val="0"/>
        <w:sz w:val="21"/>
        <w:szCs w:val="21"/>
        <w:lang w:val="zh-CN"/>
      </w:rPr>
      <w:t xml:space="preserve">- </w:t>
    </w:r>
    <w:r>
      <w:rPr>
        <w:rFonts w:ascii="Arial" w:hAnsi="Arial" w:eastAsia="等线 Light" w:cs="Arial"/>
        <w:kern w:val="0"/>
        <w:sz w:val="21"/>
        <w:szCs w:val="21"/>
        <w:lang w:val="zh-CN"/>
      </w:rPr>
      <w:fldChar w:fldCharType="begin"/>
    </w:r>
    <w:r>
      <w:rPr>
        <w:rFonts w:ascii="Arial" w:hAnsi="Arial" w:eastAsia="等线 Light" w:cs="Arial"/>
        <w:kern w:val="0"/>
        <w:sz w:val="21"/>
        <w:szCs w:val="21"/>
        <w:lang w:val="zh-CN"/>
      </w:rPr>
      <w:instrText xml:space="preserve"> PAGE </w:instrText>
    </w:r>
    <w:r>
      <w:rPr>
        <w:rFonts w:ascii="Arial" w:hAnsi="Arial" w:eastAsia="等线 Light" w:cs="Arial"/>
        <w:kern w:val="0"/>
        <w:sz w:val="21"/>
        <w:szCs w:val="21"/>
        <w:lang w:val="zh-CN"/>
      </w:rPr>
      <w:fldChar w:fldCharType="separate"/>
    </w:r>
    <w:r>
      <w:rPr>
        <w:rFonts w:ascii="Arial" w:hAnsi="Arial" w:eastAsia="等线 Light" w:cs="Arial"/>
        <w:kern w:val="0"/>
        <w:sz w:val="21"/>
        <w:szCs w:val="21"/>
        <w:lang w:val="zh-CN"/>
      </w:rPr>
      <w:t>45</w:t>
    </w:r>
    <w:r>
      <w:rPr>
        <w:rFonts w:ascii="Arial" w:hAnsi="Arial" w:eastAsia="等线 Light" w:cs="Arial"/>
        <w:kern w:val="0"/>
        <w:sz w:val="21"/>
        <w:szCs w:val="21"/>
        <w:lang w:val="zh-CN"/>
      </w:rPr>
      <w:fldChar w:fldCharType="end"/>
    </w:r>
    <w:r>
      <w:rPr>
        <w:rFonts w:ascii="Arial" w:hAnsi="Arial" w:eastAsia="等线 Light" w:cs="Arial"/>
        <w:kern w:val="0"/>
        <w:sz w:val="21"/>
        <w:szCs w:val="21"/>
        <w:lang w:val="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Arial" w:hAnsi="Arial" w:eastAsia="等线 Light" w:cs="Arial"/>
        <w:sz w:val="21"/>
        <w:szCs w:val="21"/>
        <w:lang w:val="zh-CN"/>
      </w:rPr>
    </w:pPr>
    <w:r>
      <w:rPr>
        <w:rFonts w:ascii="Arial" w:hAnsi="Arial" w:eastAsia="等线 Light" w:cs="Arial"/>
        <w:kern w:val="0"/>
        <w:sz w:val="21"/>
        <w:szCs w:val="21"/>
        <w:lang w:val="zh-CN"/>
      </w:rPr>
      <w:t xml:space="preserve">- </w:t>
    </w:r>
    <w:r>
      <w:rPr>
        <w:rFonts w:ascii="Arial" w:hAnsi="Arial" w:eastAsia="等线 Light" w:cs="Arial"/>
        <w:kern w:val="0"/>
        <w:sz w:val="21"/>
        <w:szCs w:val="21"/>
        <w:lang w:val="zh-CN"/>
      </w:rPr>
      <w:fldChar w:fldCharType="begin"/>
    </w:r>
    <w:r>
      <w:rPr>
        <w:rFonts w:ascii="Arial" w:hAnsi="Arial" w:eastAsia="等线 Light" w:cs="Arial"/>
        <w:kern w:val="0"/>
        <w:sz w:val="21"/>
        <w:szCs w:val="21"/>
        <w:lang w:val="zh-CN"/>
      </w:rPr>
      <w:instrText xml:space="preserve"> PAGE </w:instrText>
    </w:r>
    <w:r>
      <w:rPr>
        <w:rFonts w:ascii="Arial" w:hAnsi="Arial" w:eastAsia="等线 Light" w:cs="Arial"/>
        <w:kern w:val="0"/>
        <w:sz w:val="21"/>
        <w:szCs w:val="21"/>
        <w:lang w:val="zh-CN"/>
      </w:rPr>
      <w:fldChar w:fldCharType="separate"/>
    </w:r>
    <w:r>
      <w:rPr>
        <w:rFonts w:ascii="Arial" w:hAnsi="Arial" w:eastAsia="等线 Light" w:cs="Arial"/>
        <w:kern w:val="0"/>
        <w:sz w:val="21"/>
        <w:szCs w:val="21"/>
        <w:lang w:val="zh-CN"/>
      </w:rPr>
      <w:t>110</w:t>
    </w:r>
    <w:r>
      <w:rPr>
        <w:rFonts w:ascii="Arial" w:hAnsi="Arial" w:eastAsia="等线 Light" w:cs="Arial"/>
        <w:kern w:val="0"/>
        <w:sz w:val="21"/>
        <w:szCs w:val="21"/>
        <w:lang w:val="zh-CN"/>
      </w:rPr>
      <w:fldChar w:fldCharType="end"/>
    </w:r>
    <w:r>
      <w:rPr>
        <w:rFonts w:ascii="Arial" w:hAnsi="Arial" w:eastAsia="等线 Light" w:cs="Arial"/>
        <w:kern w:val="0"/>
        <w:sz w:val="21"/>
        <w:szCs w:val="21"/>
        <w:lang w:val="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Arial" w:hAnsi="Arial" w:eastAsia="等线 Light" w:cs="Arial"/>
        <w:sz w:val="21"/>
        <w:szCs w:val="21"/>
        <w:lang w:val="zh-CN"/>
      </w:rPr>
    </w:pPr>
    <w:r>
      <w:rPr>
        <w:rFonts w:ascii="Arial" w:hAnsi="Arial" w:eastAsia="等线 Light" w:cs="Arial"/>
        <w:kern w:val="0"/>
        <w:sz w:val="21"/>
        <w:szCs w:val="21"/>
        <w:lang w:val="zh-CN"/>
      </w:rPr>
      <w:t xml:space="preserve">- </w:t>
    </w:r>
    <w:r>
      <w:rPr>
        <w:rFonts w:ascii="Arial" w:hAnsi="Arial" w:eastAsia="等线 Light" w:cs="Arial"/>
        <w:kern w:val="0"/>
        <w:sz w:val="21"/>
        <w:szCs w:val="21"/>
        <w:lang w:val="zh-CN"/>
      </w:rPr>
      <w:fldChar w:fldCharType="begin"/>
    </w:r>
    <w:r>
      <w:rPr>
        <w:rFonts w:ascii="Arial" w:hAnsi="Arial" w:eastAsia="等线 Light" w:cs="Arial"/>
        <w:kern w:val="0"/>
        <w:sz w:val="21"/>
        <w:szCs w:val="21"/>
        <w:lang w:val="zh-CN"/>
      </w:rPr>
      <w:instrText xml:space="preserve"> PAGE </w:instrText>
    </w:r>
    <w:r>
      <w:rPr>
        <w:rFonts w:ascii="Arial" w:hAnsi="Arial" w:eastAsia="等线 Light" w:cs="Arial"/>
        <w:kern w:val="0"/>
        <w:sz w:val="21"/>
        <w:szCs w:val="21"/>
        <w:lang w:val="zh-CN"/>
      </w:rPr>
      <w:fldChar w:fldCharType="separate"/>
    </w:r>
    <w:r>
      <w:rPr>
        <w:rFonts w:ascii="Arial" w:hAnsi="Arial" w:eastAsia="等线 Light" w:cs="Arial"/>
        <w:kern w:val="0"/>
        <w:sz w:val="21"/>
        <w:szCs w:val="21"/>
        <w:lang w:val="zh-CN"/>
      </w:rPr>
      <w:t>141</w:t>
    </w:r>
    <w:r>
      <w:rPr>
        <w:rFonts w:ascii="Arial" w:hAnsi="Arial" w:eastAsia="等线 Light" w:cs="Arial"/>
        <w:kern w:val="0"/>
        <w:sz w:val="21"/>
        <w:szCs w:val="21"/>
        <w:lang w:val="zh-CN"/>
      </w:rPr>
      <w:fldChar w:fldCharType="end"/>
    </w:r>
    <w:r>
      <w:rPr>
        <w:rFonts w:ascii="Arial" w:hAnsi="Arial" w:eastAsia="等线 Light" w:cs="Arial"/>
        <w:kern w:val="0"/>
        <w:sz w:val="21"/>
        <w:szCs w:val="21"/>
        <w:lang w:val="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Arial" w:hAnsi="Arial" w:eastAsia="等线 Light" w:cs="Arial"/>
        <w:sz w:val="21"/>
        <w:szCs w:val="21"/>
        <w:lang w:val="zh-CN"/>
      </w:rPr>
    </w:pPr>
    <w:r>
      <w:rPr>
        <w:rFonts w:ascii="Arial" w:hAnsi="Arial" w:eastAsia="等线 Light" w:cs="Arial"/>
        <w:kern w:val="0"/>
        <w:sz w:val="21"/>
        <w:szCs w:val="21"/>
        <w:lang w:val="zh-CN"/>
      </w:rPr>
      <w:t xml:space="preserve">- </w:t>
    </w:r>
    <w:r>
      <w:rPr>
        <w:rFonts w:ascii="Arial" w:hAnsi="Arial" w:eastAsia="等线 Light" w:cs="Arial"/>
        <w:kern w:val="0"/>
        <w:sz w:val="21"/>
        <w:szCs w:val="21"/>
        <w:lang w:val="zh-CN"/>
      </w:rPr>
      <w:fldChar w:fldCharType="begin"/>
    </w:r>
    <w:r>
      <w:rPr>
        <w:rFonts w:ascii="Arial" w:hAnsi="Arial" w:eastAsia="等线 Light" w:cs="Arial"/>
        <w:kern w:val="0"/>
        <w:sz w:val="21"/>
        <w:szCs w:val="21"/>
        <w:lang w:val="zh-CN"/>
      </w:rPr>
      <w:instrText xml:space="preserve"> PAGE </w:instrText>
    </w:r>
    <w:r>
      <w:rPr>
        <w:rFonts w:ascii="Arial" w:hAnsi="Arial" w:eastAsia="等线 Light" w:cs="Arial"/>
        <w:kern w:val="0"/>
        <w:sz w:val="21"/>
        <w:szCs w:val="21"/>
        <w:lang w:val="zh-CN"/>
      </w:rPr>
      <w:fldChar w:fldCharType="separate"/>
    </w:r>
    <w:r>
      <w:rPr>
        <w:rFonts w:ascii="Arial" w:hAnsi="Arial" w:eastAsia="等线 Light" w:cs="Arial"/>
        <w:kern w:val="0"/>
        <w:sz w:val="21"/>
        <w:szCs w:val="21"/>
        <w:lang w:val="zh-CN"/>
      </w:rPr>
      <w:t>169</w:t>
    </w:r>
    <w:r>
      <w:rPr>
        <w:rFonts w:ascii="Arial" w:hAnsi="Arial" w:eastAsia="等线 Light" w:cs="Arial"/>
        <w:kern w:val="0"/>
        <w:sz w:val="21"/>
        <w:szCs w:val="21"/>
        <w:lang w:val="zh-CN"/>
      </w:rPr>
      <w:fldChar w:fldCharType="end"/>
    </w:r>
    <w:r>
      <w:rPr>
        <w:rFonts w:ascii="Arial" w:hAnsi="Arial" w:eastAsia="等线 Light" w:cs="Arial"/>
        <w:kern w:val="0"/>
        <w:sz w:val="21"/>
        <w:szCs w:val="21"/>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118F6"/>
    <w:rsid w:val="5ED118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toc 1"/>
    <w:basedOn w:val="1"/>
    <w:next w:val="1"/>
    <w:uiPriority w:val="0"/>
    <w:pPr>
      <w:spacing w:before="120" w:after="120"/>
      <w:jc w:val="left"/>
    </w:pPr>
    <w:rPr>
      <w:rFonts w:ascii="Calibri" w:hAnsi="Calibri"/>
      <w:b/>
      <w:bCs/>
      <w:caps/>
      <w:sz w:val="20"/>
      <w:szCs w:val="20"/>
    </w:rPr>
  </w:style>
  <w:style w:type="character" w:styleId="6">
    <w:name w:val="Hyperlink"/>
    <w:uiPriority w:val="0"/>
    <w:rPr>
      <w:rFonts w:cs="Times New Roman"/>
      <w:color w:val="0000FF"/>
      <w:u w:val="single"/>
    </w:rPr>
  </w:style>
  <w:style w:type="paragraph" w:customStyle="1" w:styleId="8">
    <w:name w:val="SBBL1"/>
    <w:basedOn w:val="2"/>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9">
    <w:name w:val="SBBZW"/>
    <w:basedOn w:val="1"/>
    <w:qFormat/>
    <w:uiPriority w:val="0"/>
    <w:pPr>
      <w:spacing w:line="360" w:lineRule="auto"/>
      <w:ind w:firstLine="480" w:firstLineChars="200"/>
    </w:pPr>
    <w:rPr>
      <w:rFonts w:ascii="宋体" w:hAnsi="宋体"/>
      <w:sz w:val="24"/>
    </w:rPr>
  </w:style>
  <w:style w:type="paragraph" w:customStyle="1" w:styleId="10">
    <w:name w:val="SBBT1"/>
    <w:basedOn w:val="9"/>
    <w:qFormat/>
    <w:uiPriority w:val="0"/>
    <w:pPr>
      <w:tabs>
        <w:tab w:val="center" w:pos="4678"/>
      </w:tabs>
      <w:ind w:firstLine="0" w:firstLineChars="0"/>
      <w:jc w:val="left"/>
      <w:outlineLvl w:val="0"/>
    </w:pPr>
    <w:rPr>
      <w:rFonts w:cs="宋体"/>
      <w:b/>
      <w:bCs/>
      <w:kern w:val="0"/>
      <w:sz w:val="28"/>
      <w:szCs w:val="28"/>
    </w:rPr>
  </w:style>
  <w:style w:type="paragraph" w:customStyle="1" w:styleId="11">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2">
    <w:name w:val="SBBL3"/>
    <w:basedOn w:val="1"/>
    <w:qFormat/>
    <w:uiPriority w:val="0"/>
    <w:pPr>
      <w:spacing w:line="360" w:lineRule="auto"/>
      <w:ind w:firstLine="480" w:firstLineChars="200"/>
      <w:outlineLvl w:val="2"/>
    </w:pPr>
    <w:rPr>
      <w:rFonts w:ascii="黑体" w:hAnsi="黑体" w:eastAsia="黑体" w:cs="Calibri"/>
      <w:sz w:val="24"/>
    </w:rPr>
  </w:style>
  <w:style w:type="paragraph" w:customStyle="1" w:styleId="13">
    <w:name w:val="SBBT2"/>
    <w:basedOn w:val="10"/>
    <w:qFormat/>
    <w:uiPriority w:val="0"/>
    <w:pPr>
      <w:tabs>
        <w:tab w:val="center" w:pos="6521"/>
        <w:tab w:val="clear" w:pos="4678"/>
      </w:tabs>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2018-01-05T09:44:00Z</dcterms:created>
  <dc:creator>Administrator</dc:creator>
  <cp:lastModifiedBy>Administrator</cp:lastModifiedBy>
  <dcterms:modified xsi:type="dcterms:W3CDTF">2018-01-05T09:44:39Z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